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A644A9"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924741" w:rsidP="00A53B04">
            <w:pPr>
              <w:rPr>
                <w:rFonts w:cs="Arial"/>
                <w:szCs w:val="24"/>
              </w:rPr>
            </w:pPr>
            <w:r>
              <w:rPr>
                <w:rFonts w:cs="Arial"/>
                <w:szCs w:val="24"/>
              </w:rPr>
              <w:t xml:space="preserve">9 </w:t>
            </w:r>
            <w:r w:rsidR="00533065">
              <w:rPr>
                <w:rFonts w:cs="Arial"/>
                <w:szCs w:val="24"/>
              </w:rPr>
              <w:t>Jan</w:t>
            </w:r>
            <w:r>
              <w:rPr>
                <w:rFonts w:cs="Arial"/>
                <w:szCs w:val="24"/>
              </w:rPr>
              <w:t>uary</w:t>
            </w:r>
            <w:r w:rsidR="00533065">
              <w:rPr>
                <w:rFonts w:cs="Arial"/>
                <w:szCs w:val="24"/>
              </w:rPr>
              <w:t xml:space="preserve">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7C38A4" w:rsidP="00533065">
            <w:pPr>
              <w:rPr>
                <w:rFonts w:cs="Arial"/>
                <w:szCs w:val="24"/>
              </w:rPr>
            </w:pPr>
            <w:r w:rsidRPr="00F4114B">
              <w:t>20</w:t>
            </w:r>
            <w:r>
              <w:t>20</w:t>
            </w:r>
            <w:r w:rsidRPr="00F4114B">
              <w:t xml:space="preserve">-2021 Upgrade/renewal of </w:t>
            </w:r>
            <w:r>
              <w:t xml:space="preserve">Fire Door 30 </w:t>
            </w:r>
            <w:r w:rsidRPr="00F4114B">
              <w:t>front entrance doors at 3</w:t>
            </w:r>
            <w:r>
              <w:t xml:space="preserve"> </w:t>
            </w:r>
            <w:r w:rsidRPr="00F4114B">
              <w:t>s</w:t>
            </w:r>
            <w:r>
              <w:t>torey</w:t>
            </w:r>
            <w:r w:rsidRPr="00F4114B">
              <w:t xml:space="preserve"> blocks.</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1C7E35" w:rsidP="001C7E35">
            <w:pPr>
              <w:pStyle w:val="Infotext"/>
              <w:rPr>
                <w:rFonts w:cs="Arial"/>
                <w:sz w:val="24"/>
                <w:szCs w:val="24"/>
              </w:rPr>
            </w:pPr>
            <w:r w:rsidRPr="005E3A10">
              <w:rPr>
                <w:rFonts w:cs="Arial"/>
                <w:sz w:val="24"/>
                <w:szCs w:val="24"/>
              </w:rPr>
              <w:t xml:space="preserve">Yes </w:t>
            </w:r>
          </w:p>
          <w:p w:rsidR="00333FAA" w:rsidRPr="005E3A10" w:rsidRDefault="00333FAA" w:rsidP="00270A58">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533065" w:rsidP="00E10283">
            <w:pPr>
              <w:pStyle w:val="Infotext"/>
              <w:rPr>
                <w:rFonts w:cs="Arial"/>
                <w:sz w:val="24"/>
                <w:szCs w:val="24"/>
              </w:rPr>
            </w:pPr>
            <w:r w:rsidRPr="00A0706F">
              <w:rPr>
                <w:rFonts w:cs="Arial"/>
                <w:b/>
                <w:sz w:val="24"/>
                <w:szCs w:val="24"/>
              </w:rPr>
              <w:t>Nick Powell</w:t>
            </w:r>
            <w:r>
              <w:rPr>
                <w:rFonts w:cs="Arial"/>
                <w:sz w:val="24"/>
                <w:szCs w:val="24"/>
              </w:rPr>
              <w:t xml:space="preserve">, </w:t>
            </w:r>
            <w:r w:rsidRPr="00083072">
              <w:rPr>
                <w:rFonts w:cs="Arial"/>
                <w:sz w:val="24"/>
                <w:szCs w:val="24"/>
              </w:rPr>
              <w:t>Divisional Director of Housing Services</w:t>
            </w:r>
            <w:r w:rsidRPr="005E3A10">
              <w:rPr>
                <w:rFonts w:cs="Arial"/>
                <w:sz w:val="24"/>
                <w:szCs w:val="24"/>
              </w:rPr>
              <w:t xml:space="preserve"> </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533065" w:rsidRPr="005E3A10" w:rsidRDefault="00533065" w:rsidP="00533065">
            <w:pPr>
              <w:pStyle w:val="Infotext"/>
              <w:rPr>
                <w:rFonts w:cs="Arial"/>
                <w:sz w:val="24"/>
                <w:szCs w:val="24"/>
              </w:rPr>
            </w:pPr>
            <w:r w:rsidRPr="00A0706F">
              <w:rPr>
                <w:rFonts w:cs="Arial"/>
                <w:b/>
                <w:sz w:val="24"/>
                <w:szCs w:val="24"/>
              </w:rPr>
              <w:t xml:space="preserve">Councillor </w:t>
            </w:r>
            <w:r w:rsidR="00924741" w:rsidRPr="00A0706F">
              <w:rPr>
                <w:rFonts w:cs="Arial"/>
                <w:b/>
                <w:sz w:val="24"/>
                <w:szCs w:val="24"/>
              </w:rPr>
              <w:t>Philip O’Dell</w:t>
            </w:r>
            <w:r>
              <w:rPr>
                <w:rFonts w:cs="Arial"/>
                <w:sz w:val="24"/>
                <w:szCs w:val="24"/>
              </w:rPr>
              <w:t>, Portfolio Holder for Housing</w:t>
            </w:r>
          </w:p>
          <w:p w:rsidR="001C7E35" w:rsidRDefault="00533065" w:rsidP="00533065">
            <w:pPr>
              <w:pStyle w:val="Infotext"/>
              <w:rPr>
                <w:rFonts w:cs="Arial"/>
                <w:color w:val="FF0000"/>
                <w:sz w:val="24"/>
                <w:szCs w:val="24"/>
              </w:rPr>
            </w:pPr>
            <w:r w:rsidRPr="005E3A10">
              <w:rPr>
                <w:rFonts w:cs="Arial"/>
                <w:color w:val="FF0000"/>
                <w:sz w:val="24"/>
                <w:szCs w:val="24"/>
              </w:rPr>
              <w:t xml:space="preserve"> </w:t>
            </w:r>
          </w:p>
          <w:p w:rsidR="00533065" w:rsidRPr="005E3A10" w:rsidRDefault="00533065" w:rsidP="00533065">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533065" w:rsidP="00D835CF">
            <w:pPr>
              <w:pStyle w:val="Infotext"/>
              <w:rPr>
                <w:rFonts w:cs="Arial"/>
                <w:sz w:val="24"/>
                <w:szCs w:val="24"/>
              </w:rPr>
            </w:pPr>
            <w:r>
              <w:rPr>
                <w:rFonts w:cs="Arial"/>
                <w:sz w:val="24"/>
                <w:szCs w:val="24"/>
              </w:rPr>
              <w:t>No</w:t>
            </w:r>
          </w:p>
          <w:p w:rsidR="001C7E35" w:rsidRPr="005E3A10" w:rsidRDefault="001C7E35" w:rsidP="00533065">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53306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533065" w:rsidP="00D835CF">
            <w:pPr>
              <w:rPr>
                <w:rFonts w:cs="Arial"/>
                <w:b/>
                <w:color w:val="FF0000"/>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46385D" w:rsidP="00DB6C3D">
            <w:pPr>
              <w:pStyle w:val="Infotext"/>
              <w:rPr>
                <w:color w:val="FF0000"/>
                <w:sz w:val="24"/>
                <w:szCs w:val="24"/>
              </w:rPr>
            </w:pPr>
            <w:r w:rsidRPr="003E23C9">
              <w:rPr>
                <w:sz w:val="24"/>
                <w:szCs w:val="24"/>
              </w:rPr>
              <w:t>N</w:t>
            </w:r>
            <w:r w:rsidR="003E23C9" w:rsidRPr="003E23C9">
              <w:rPr>
                <w:sz w:val="24"/>
                <w:szCs w:val="24"/>
              </w:rPr>
              <w:t>one</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A4A1D" w:rsidRDefault="009C3FE2" w:rsidP="00533065">
            <w:r>
              <w:t xml:space="preserve">1.1 </w:t>
            </w:r>
            <w:r w:rsidR="00533065" w:rsidRPr="00E622DD">
              <w:t xml:space="preserve">This report asks Cabinet for authority to go to the market </w:t>
            </w:r>
            <w:r w:rsidR="00533065">
              <w:t>and procure a contractor to deliver and install FD30 fire doors to 3</w:t>
            </w:r>
            <w:r w:rsidR="00137272">
              <w:t xml:space="preserve"> </w:t>
            </w:r>
            <w:r w:rsidR="00533065">
              <w:t>s</w:t>
            </w:r>
            <w:r w:rsidR="00137272">
              <w:t xml:space="preserve">torey blocks </w:t>
            </w:r>
            <w:r w:rsidR="00141EBC">
              <w:t>across</w:t>
            </w:r>
            <w:r w:rsidR="00137272">
              <w:t xml:space="preserve"> the London </w:t>
            </w:r>
            <w:r w:rsidR="00533065">
              <w:t>B</w:t>
            </w:r>
            <w:r w:rsidR="00137272">
              <w:t>orough</w:t>
            </w:r>
            <w:r w:rsidR="00533065">
              <w:t xml:space="preserve"> of Harrow</w:t>
            </w:r>
            <w:r w:rsidR="00533065">
              <w:rPr>
                <w:rFonts w:cs="Arial"/>
                <w:szCs w:val="24"/>
              </w:rPr>
              <w:t xml:space="preserve">.  We anticipate letting a </w:t>
            </w:r>
            <w:r w:rsidR="00533065" w:rsidRPr="00C76F8E">
              <w:rPr>
                <w:rFonts w:cs="Arial"/>
                <w:szCs w:val="24"/>
              </w:rPr>
              <w:t xml:space="preserve">30 week programme </w:t>
            </w:r>
            <w:r w:rsidR="005A559A">
              <w:t xml:space="preserve">as part of the </w:t>
            </w:r>
            <w:r w:rsidR="00137272">
              <w:t>20</w:t>
            </w:r>
            <w:r w:rsidR="00AB2A2E">
              <w:t>20</w:t>
            </w:r>
            <w:r w:rsidR="00137272">
              <w:t>/21</w:t>
            </w:r>
            <w:r w:rsidR="00533065" w:rsidRPr="00C76F8E">
              <w:t xml:space="preserve"> Housing Capital Programme.</w:t>
            </w:r>
            <w:r w:rsidR="00533065">
              <w:t xml:space="preserve"> </w:t>
            </w:r>
          </w:p>
          <w:p w:rsidR="00533065" w:rsidRDefault="00533065" w:rsidP="00533065">
            <w:r>
              <w:t xml:space="preserve"> </w:t>
            </w:r>
          </w:p>
          <w:p w:rsidR="009A3766" w:rsidRDefault="00533065" w:rsidP="009A3766">
            <w:r>
              <w:t xml:space="preserve">We are also seeking </w:t>
            </w:r>
            <w:r w:rsidR="00137272">
              <w:t xml:space="preserve">delegated </w:t>
            </w:r>
            <w:r>
              <w:t>authority to award the contract following the outcome of the tendering process.</w:t>
            </w:r>
          </w:p>
          <w:p w:rsidR="009A3766" w:rsidRDefault="009A3766" w:rsidP="009A3766"/>
          <w:p w:rsidR="001A3BB0" w:rsidRPr="009A3766" w:rsidRDefault="001A3BB0" w:rsidP="009A3766"/>
          <w:p w:rsidR="001C7E35" w:rsidRDefault="001C7E35" w:rsidP="001C7E35">
            <w:pPr>
              <w:pStyle w:val="Heading2"/>
            </w:pPr>
            <w:r>
              <w:lastRenderedPageBreak/>
              <w:t xml:space="preserve">Recommendations: </w:t>
            </w:r>
          </w:p>
          <w:p w:rsidR="001C7E35" w:rsidRDefault="009C3FE2" w:rsidP="0054590F">
            <w:r>
              <w:t xml:space="preserve">1.2 </w:t>
            </w:r>
            <w:r w:rsidR="001C7E35">
              <w:t>Cabinet is requested to:</w:t>
            </w:r>
          </w:p>
          <w:p w:rsidR="00533065" w:rsidRDefault="00533065" w:rsidP="0054590F"/>
          <w:p w:rsidR="00533065" w:rsidRPr="00835A23" w:rsidRDefault="00533065" w:rsidP="00FA1402">
            <w:pPr>
              <w:numPr>
                <w:ilvl w:val="0"/>
                <w:numId w:val="4"/>
              </w:numPr>
            </w:pPr>
            <w:r w:rsidRPr="00137272">
              <w:t xml:space="preserve">Give authority to officers to undertake a procurement process for a contractor to </w:t>
            </w:r>
            <w:r w:rsidRPr="00137272">
              <w:rPr>
                <w:rFonts w:cs="Arial"/>
              </w:rPr>
              <w:t>deliver a variety of FD30 fire doors</w:t>
            </w:r>
            <w:r w:rsidR="00137272">
              <w:rPr>
                <w:rFonts w:cs="Arial"/>
              </w:rPr>
              <w:t xml:space="preserve"> across the Borough</w:t>
            </w:r>
            <w:r w:rsidRPr="00137272">
              <w:rPr>
                <w:rFonts w:cs="Arial"/>
              </w:rPr>
              <w:t xml:space="preserve">, </w:t>
            </w:r>
            <w:r w:rsidR="00137272">
              <w:rPr>
                <w:rFonts w:cs="Arial"/>
              </w:rPr>
              <w:t xml:space="preserve">as </w:t>
            </w:r>
            <w:r w:rsidRPr="00137272">
              <w:rPr>
                <w:rFonts w:cs="Arial"/>
              </w:rPr>
              <w:t>part of general improv</w:t>
            </w:r>
            <w:r w:rsidR="00137272">
              <w:rPr>
                <w:rFonts w:cs="Arial"/>
              </w:rPr>
              <w:t>ements to the safety of Harrow C</w:t>
            </w:r>
            <w:r w:rsidRPr="00137272">
              <w:rPr>
                <w:rFonts w:cs="Arial"/>
              </w:rPr>
              <w:t>ouncil</w:t>
            </w:r>
            <w:r w:rsidR="00137272">
              <w:rPr>
                <w:rFonts w:cs="Arial"/>
              </w:rPr>
              <w:t>’s</w:t>
            </w:r>
            <w:r w:rsidRPr="00137272">
              <w:rPr>
                <w:rFonts w:cs="Arial"/>
              </w:rPr>
              <w:t xml:space="preserve"> housing stock, funded entirely from HRA capital resources </w:t>
            </w:r>
            <w:r w:rsidR="002003C3">
              <w:rPr>
                <w:rFonts w:cs="Arial"/>
              </w:rPr>
              <w:t xml:space="preserve">with no impact on General Fund </w:t>
            </w:r>
            <w:r w:rsidRPr="00137272">
              <w:rPr>
                <w:rFonts w:cs="Arial"/>
              </w:rPr>
              <w:t>in financial year 20</w:t>
            </w:r>
            <w:r w:rsidR="00137272">
              <w:rPr>
                <w:rFonts w:cs="Arial"/>
              </w:rPr>
              <w:t>20-21</w:t>
            </w:r>
            <w:r w:rsidRPr="00137272">
              <w:rPr>
                <w:rFonts w:cs="Arial"/>
              </w:rPr>
              <w:t>.</w:t>
            </w:r>
          </w:p>
          <w:p w:rsidR="00835A23" w:rsidRPr="00835A23" w:rsidRDefault="00835A23" w:rsidP="00835A23">
            <w:pPr>
              <w:ind w:left="720"/>
            </w:pPr>
          </w:p>
          <w:p w:rsidR="00D173C4" w:rsidRDefault="00835A23" w:rsidP="00270A58">
            <w:pPr>
              <w:pStyle w:val="ListParagraph"/>
              <w:numPr>
                <w:ilvl w:val="0"/>
                <w:numId w:val="4"/>
              </w:numPr>
            </w:pPr>
            <w:r w:rsidRPr="00835A23">
              <w:t>Delegate authority to the Corporate Director Community following consultation with the Portfolio Holder for Housing, together with the Director of Finance to enter into the procurement and implementation of the</w:t>
            </w:r>
            <w:r>
              <w:t xml:space="preserve"> contract to the value </w:t>
            </w:r>
            <w:r w:rsidR="00AB2A2E">
              <w:t>specified within the capital programme.</w:t>
            </w:r>
          </w:p>
          <w:p w:rsidR="00835A23" w:rsidRDefault="00835A23" w:rsidP="00270A58"/>
          <w:p w:rsidR="003E23C9" w:rsidRDefault="001C7E35" w:rsidP="00270A58">
            <w:pPr>
              <w:rPr>
                <w:b/>
              </w:rPr>
            </w:pPr>
            <w:r w:rsidRPr="00270A58">
              <w:rPr>
                <w:b/>
              </w:rPr>
              <w:t>Reason:  (For recommendation</w:t>
            </w:r>
            <w:r w:rsidR="00714BEE" w:rsidRPr="00270A58">
              <w:rPr>
                <w:b/>
              </w:rPr>
              <w:t>s</w:t>
            </w:r>
            <w:r w:rsidR="003E23C9">
              <w:rPr>
                <w:b/>
              </w:rPr>
              <w:t xml:space="preserve">) </w:t>
            </w:r>
          </w:p>
          <w:p w:rsidR="00270A58" w:rsidRDefault="00270A58" w:rsidP="00270A58">
            <w:r>
              <w:t xml:space="preserve">Due to the estimated value of the project </w:t>
            </w:r>
            <w:r w:rsidR="00AB2A2E">
              <w:t xml:space="preserve">exceeding the key decision schedule </w:t>
            </w:r>
            <w:r>
              <w:t>Cabinet authorisation</w:t>
            </w:r>
            <w:r w:rsidR="00AB2A2E">
              <w:t xml:space="preserve"> is </w:t>
            </w:r>
            <w:r w:rsidR="001A3BB0">
              <w:t>required to</w:t>
            </w:r>
            <w:r>
              <w:t xml:space="preserve"> comply with the Council’s Contract Procedure Rules.</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624EAF">
      <w:pPr>
        <w:pStyle w:val="Heading1"/>
      </w:pPr>
      <w:r>
        <w:t>Section 2 – Report</w:t>
      </w:r>
    </w:p>
    <w:p w:rsidR="00BA2C45" w:rsidRPr="007D6F1E" w:rsidRDefault="00141EBC" w:rsidP="00EE4A18">
      <w:pPr>
        <w:ind w:left="720" w:hanging="720"/>
      </w:pPr>
      <w:r>
        <w:rPr>
          <w:rFonts w:cs="Arial"/>
        </w:rPr>
        <w:t xml:space="preserve">2.0 </w:t>
      </w:r>
      <w:r w:rsidR="00A456F1">
        <w:rPr>
          <w:rFonts w:cs="Arial"/>
        </w:rPr>
        <w:tab/>
      </w:r>
      <w:r w:rsidR="00BA2C45" w:rsidRPr="001C500E">
        <w:rPr>
          <w:rFonts w:cs="Arial"/>
        </w:rPr>
        <w:t>The intention is to procure</w:t>
      </w:r>
      <w:r w:rsidR="00C20053">
        <w:rPr>
          <w:rFonts w:cs="Arial"/>
        </w:rPr>
        <w:t xml:space="preserve"> </w:t>
      </w:r>
      <w:r>
        <w:rPr>
          <w:rFonts w:cs="Arial"/>
        </w:rPr>
        <w:t xml:space="preserve">the above works </w:t>
      </w:r>
      <w:r w:rsidR="00BA2C45" w:rsidRPr="001C500E">
        <w:rPr>
          <w:rFonts w:cs="Arial"/>
        </w:rPr>
        <w:t>immediately</w:t>
      </w:r>
      <w:r w:rsidR="00BA2C45">
        <w:rPr>
          <w:rFonts w:cs="Arial"/>
        </w:rPr>
        <w:t xml:space="preserve"> a</w:t>
      </w:r>
      <w:r w:rsidR="00D8479C">
        <w:rPr>
          <w:rFonts w:cs="Arial"/>
        </w:rPr>
        <w:t>s part of</w:t>
      </w:r>
      <w:r w:rsidR="00284D4A">
        <w:rPr>
          <w:rFonts w:cs="Arial"/>
        </w:rPr>
        <w:t xml:space="preserve"> the 20</w:t>
      </w:r>
      <w:r w:rsidR="00137272">
        <w:rPr>
          <w:rFonts w:cs="Arial"/>
        </w:rPr>
        <w:t>20</w:t>
      </w:r>
      <w:r w:rsidR="00284D4A">
        <w:rPr>
          <w:rFonts w:cs="Arial"/>
        </w:rPr>
        <w:t>/2</w:t>
      </w:r>
      <w:r w:rsidR="00137272">
        <w:rPr>
          <w:rFonts w:cs="Arial"/>
        </w:rPr>
        <w:t>1</w:t>
      </w:r>
      <w:r w:rsidR="00BA2C45" w:rsidRPr="001C500E">
        <w:rPr>
          <w:rFonts w:cs="Arial"/>
        </w:rPr>
        <w:t xml:space="preserve"> </w:t>
      </w:r>
      <w:r w:rsidR="00C20053" w:rsidRPr="001C500E">
        <w:rPr>
          <w:rFonts w:cs="Arial"/>
        </w:rPr>
        <w:t>programme</w:t>
      </w:r>
      <w:r w:rsidR="00C20053">
        <w:rPr>
          <w:rFonts w:cs="Arial"/>
        </w:rPr>
        <w:t>.</w:t>
      </w:r>
      <w:r>
        <w:rPr>
          <w:rFonts w:cs="Arial"/>
        </w:rPr>
        <w:t xml:space="preserve"> </w:t>
      </w:r>
      <w:r w:rsidR="00D8479C">
        <w:rPr>
          <w:rFonts w:cs="Arial"/>
        </w:rPr>
        <w:t>T</w:t>
      </w:r>
      <w:r>
        <w:rPr>
          <w:rFonts w:cs="Arial"/>
        </w:rPr>
        <w:t xml:space="preserve">hese works are statutory </w:t>
      </w:r>
      <w:r w:rsidR="00D8479C">
        <w:rPr>
          <w:rFonts w:cs="Arial"/>
        </w:rPr>
        <w:t>and</w:t>
      </w:r>
      <w:r w:rsidR="00C20053">
        <w:rPr>
          <w:rFonts w:cs="Arial"/>
        </w:rPr>
        <w:t xml:space="preserve"> </w:t>
      </w:r>
      <w:r>
        <w:rPr>
          <w:rFonts w:cs="Arial"/>
        </w:rPr>
        <w:t xml:space="preserve">meet the need of </w:t>
      </w:r>
      <w:r w:rsidR="00D8479C">
        <w:rPr>
          <w:rFonts w:cs="Arial"/>
        </w:rPr>
        <w:t>the</w:t>
      </w:r>
      <w:r w:rsidR="00C20053">
        <w:rPr>
          <w:rFonts w:cs="Arial"/>
        </w:rPr>
        <w:t xml:space="preserve"> </w:t>
      </w:r>
      <w:r w:rsidR="00322158">
        <w:rPr>
          <w:rFonts w:cs="Arial"/>
        </w:rPr>
        <w:t>health and fire</w:t>
      </w:r>
      <w:r>
        <w:rPr>
          <w:rFonts w:cs="Arial"/>
        </w:rPr>
        <w:t xml:space="preserve"> safety compliance</w:t>
      </w:r>
      <w:r w:rsidR="00D8479C">
        <w:rPr>
          <w:rFonts w:cs="Arial"/>
        </w:rPr>
        <w:t xml:space="preserve"> of our properties</w:t>
      </w:r>
      <w:r w:rsidR="00322158">
        <w:rPr>
          <w:rFonts w:cs="Arial"/>
        </w:rPr>
        <w:t>.</w:t>
      </w:r>
      <w:r w:rsidR="00BA2C45" w:rsidRPr="001C500E">
        <w:rPr>
          <w:rFonts w:cs="Arial"/>
        </w:rPr>
        <w:t xml:space="preserve"> </w:t>
      </w:r>
    </w:p>
    <w:p w:rsidR="00BA2C45" w:rsidRPr="004C6528" w:rsidRDefault="00BA2C45" w:rsidP="00BA2C45">
      <w:pPr>
        <w:rPr>
          <w:highlight w:val="cyan"/>
        </w:rPr>
      </w:pPr>
    </w:p>
    <w:p w:rsidR="00BA2C45" w:rsidRDefault="00BA2C45" w:rsidP="00EE4A18">
      <w:pPr>
        <w:ind w:left="720" w:hanging="720"/>
      </w:pPr>
      <w:r>
        <w:t xml:space="preserve">2.1 </w:t>
      </w:r>
      <w:r w:rsidR="00A456F1">
        <w:tab/>
      </w:r>
      <w:r w:rsidRPr="007D6F1E">
        <w:t>Cabinet approval is required to begin the process of procuring contractors for all projects with an e</w:t>
      </w:r>
      <w:r w:rsidR="00FD088F">
        <w:t>stimated value in excess of £</w:t>
      </w:r>
      <w:r w:rsidR="00137272">
        <w:t>500k.</w:t>
      </w:r>
    </w:p>
    <w:p w:rsidR="00BA2C45" w:rsidRDefault="00BA2C45" w:rsidP="00BA2C45">
      <w:pPr>
        <w:ind w:left="765"/>
      </w:pPr>
    </w:p>
    <w:p w:rsidR="00BA2C45" w:rsidRPr="007D6F1E" w:rsidRDefault="00BA2C45" w:rsidP="00EE4A18">
      <w:pPr>
        <w:ind w:left="720" w:hanging="720"/>
      </w:pPr>
      <w:r w:rsidRPr="00A5072F">
        <w:t xml:space="preserve">2.2 </w:t>
      </w:r>
      <w:r w:rsidR="00A456F1">
        <w:tab/>
      </w:r>
      <w:r w:rsidRPr="00A5072F">
        <w:t>Cabinet is asked to delegate authority to award and to arrange the execution of a contract or contracts with the successful tenderer(s) to</w:t>
      </w:r>
      <w:r w:rsidR="00A5072F" w:rsidRPr="00A5072F">
        <w:rPr>
          <w:iCs/>
        </w:rPr>
        <w:t xml:space="preserve"> the Corporate Director of Community</w:t>
      </w:r>
      <w:r w:rsidRPr="00A5072F">
        <w:t xml:space="preserve"> in consultation with the Portfolio Holder for Housing</w:t>
      </w:r>
      <w:r w:rsidR="005F4858">
        <w:t>,</w:t>
      </w:r>
      <w:r w:rsidRPr="00A5072F">
        <w:t xml:space="preserve"> </w:t>
      </w:r>
      <w:r w:rsidR="005F4858">
        <w:t>together with the</w:t>
      </w:r>
      <w:r w:rsidR="005F4858" w:rsidRPr="005F4858">
        <w:t xml:space="preserve"> </w:t>
      </w:r>
      <w:r w:rsidR="005F4858" w:rsidRPr="00835A23">
        <w:t xml:space="preserve">Director of </w:t>
      </w:r>
      <w:r w:rsidRPr="00A5072F">
        <w:t>because of the timescales for this procurement exercise, to enable a phased start to</w:t>
      </w:r>
      <w:r w:rsidR="00C90314" w:rsidRPr="00A5072F">
        <w:t xml:space="preserve"> </w:t>
      </w:r>
      <w:r w:rsidR="002865A8" w:rsidRPr="00A5072F">
        <w:t xml:space="preserve">the </w:t>
      </w:r>
      <w:r w:rsidRPr="00A5072F">
        <w:t>works.</w:t>
      </w:r>
    </w:p>
    <w:p w:rsidR="001C7E35" w:rsidRDefault="001C7E35" w:rsidP="001C7E35"/>
    <w:p w:rsidR="00333FAA" w:rsidRPr="00137272" w:rsidRDefault="006319FD" w:rsidP="00333FAA">
      <w:pPr>
        <w:rPr>
          <w:b/>
          <w:sz w:val="28"/>
          <w:szCs w:val="24"/>
        </w:rPr>
      </w:pPr>
      <w:r>
        <w:rPr>
          <w:b/>
          <w:sz w:val="28"/>
          <w:szCs w:val="24"/>
        </w:rPr>
        <w:t>3.</w:t>
      </w:r>
      <w:r w:rsidR="003D062B">
        <w:rPr>
          <w:b/>
          <w:sz w:val="28"/>
          <w:szCs w:val="24"/>
        </w:rPr>
        <w:t>0</w:t>
      </w:r>
      <w:r>
        <w:rPr>
          <w:b/>
          <w:sz w:val="28"/>
          <w:szCs w:val="24"/>
        </w:rPr>
        <w:t xml:space="preserve"> </w:t>
      </w:r>
      <w:r w:rsidR="00BA2C45" w:rsidRPr="00137272">
        <w:rPr>
          <w:b/>
          <w:sz w:val="28"/>
          <w:szCs w:val="24"/>
        </w:rPr>
        <w:t xml:space="preserve">Options considered  </w:t>
      </w:r>
    </w:p>
    <w:p w:rsidR="00BA2C45" w:rsidRDefault="00BA2C45" w:rsidP="00333FAA"/>
    <w:p w:rsidR="00BA2C45" w:rsidRDefault="006319FD" w:rsidP="00BA2C45">
      <w:pPr>
        <w:pStyle w:val="Heading2"/>
        <w:rPr>
          <w:rFonts w:cs="Times New Roman"/>
          <w:b w:val="0"/>
          <w:bCs w:val="0"/>
          <w:sz w:val="24"/>
          <w:szCs w:val="20"/>
        </w:rPr>
      </w:pPr>
      <w:r>
        <w:rPr>
          <w:rFonts w:cs="Times New Roman"/>
          <w:b w:val="0"/>
          <w:bCs w:val="0"/>
          <w:sz w:val="24"/>
          <w:szCs w:val="20"/>
        </w:rPr>
        <w:t>3.1</w:t>
      </w:r>
      <w:r w:rsidR="00A456F1">
        <w:rPr>
          <w:rFonts w:cs="Times New Roman"/>
          <w:b w:val="0"/>
          <w:bCs w:val="0"/>
          <w:sz w:val="24"/>
          <w:szCs w:val="20"/>
        </w:rPr>
        <w:tab/>
      </w:r>
      <w:r w:rsidR="00BA2C45" w:rsidRPr="002B4441">
        <w:rPr>
          <w:rFonts w:cs="Times New Roman"/>
          <w:b w:val="0"/>
          <w:bCs w:val="0"/>
          <w:sz w:val="24"/>
          <w:szCs w:val="20"/>
        </w:rPr>
        <w:t>The procurement options considered were as follows:</w:t>
      </w:r>
    </w:p>
    <w:p w:rsidR="00BA2C45" w:rsidRPr="002B4441" w:rsidRDefault="00BA2C45" w:rsidP="00BA2C45">
      <w:pPr>
        <w:ind w:left="765"/>
      </w:pPr>
    </w:p>
    <w:p w:rsidR="00BA2C45" w:rsidRPr="002B4441" w:rsidRDefault="00BA2C45" w:rsidP="00EE4A18">
      <w:pPr>
        <w:pStyle w:val="Heading2"/>
        <w:ind w:firstLine="720"/>
        <w:rPr>
          <w:rFonts w:cs="Times New Roman"/>
          <w:bCs w:val="0"/>
          <w:sz w:val="24"/>
          <w:szCs w:val="20"/>
        </w:rPr>
      </w:pPr>
      <w:r w:rsidRPr="002B4441">
        <w:rPr>
          <w:rFonts w:cs="Times New Roman"/>
          <w:bCs w:val="0"/>
          <w:sz w:val="24"/>
          <w:szCs w:val="20"/>
        </w:rPr>
        <w:t xml:space="preserve">a) Open tender and award to </w:t>
      </w:r>
      <w:r>
        <w:rPr>
          <w:rFonts w:cs="Times New Roman"/>
          <w:bCs w:val="0"/>
          <w:sz w:val="24"/>
          <w:szCs w:val="20"/>
        </w:rPr>
        <w:t xml:space="preserve">one </w:t>
      </w:r>
      <w:r w:rsidRPr="002B4441">
        <w:rPr>
          <w:rFonts w:cs="Times New Roman"/>
          <w:bCs w:val="0"/>
          <w:sz w:val="24"/>
          <w:szCs w:val="20"/>
        </w:rPr>
        <w:t>provider</w:t>
      </w:r>
    </w:p>
    <w:p w:rsidR="00BA2C45" w:rsidRDefault="00BA2C45" w:rsidP="00EE4A18">
      <w:pPr>
        <w:pStyle w:val="Heading2"/>
        <w:ind w:left="720"/>
        <w:rPr>
          <w:rFonts w:cs="Times New Roman"/>
          <w:b w:val="0"/>
          <w:bCs w:val="0"/>
          <w:sz w:val="24"/>
          <w:szCs w:val="20"/>
        </w:rPr>
      </w:pPr>
      <w:r w:rsidRPr="002B4441">
        <w:rPr>
          <w:rFonts w:cs="Times New Roman"/>
          <w:b w:val="0"/>
          <w:bCs w:val="0"/>
          <w:sz w:val="24"/>
          <w:szCs w:val="20"/>
        </w:rPr>
        <w:t>Engag</w:t>
      </w:r>
      <w:r w:rsidR="0058362C">
        <w:rPr>
          <w:rFonts w:cs="Times New Roman"/>
          <w:b w:val="0"/>
          <w:bCs w:val="0"/>
          <w:sz w:val="24"/>
          <w:szCs w:val="20"/>
        </w:rPr>
        <w:t>e</w:t>
      </w:r>
      <w:r w:rsidRPr="002B4441">
        <w:rPr>
          <w:rFonts w:cs="Times New Roman"/>
          <w:b w:val="0"/>
          <w:bCs w:val="0"/>
          <w:sz w:val="24"/>
          <w:szCs w:val="20"/>
        </w:rPr>
        <w:t xml:space="preserve"> in an open tender </w:t>
      </w:r>
      <w:r>
        <w:rPr>
          <w:rFonts w:cs="Times New Roman"/>
          <w:b w:val="0"/>
          <w:bCs w:val="0"/>
          <w:sz w:val="24"/>
          <w:szCs w:val="20"/>
        </w:rPr>
        <w:t xml:space="preserve">which </w:t>
      </w:r>
      <w:r w:rsidRPr="002B4441">
        <w:rPr>
          <w:rFonts w:cs="Times New Roman"/>
          <w:b w:val="0"/>
          <w:bCs w:val="0"/>
          <w:sz w:val="24"/>
          <w:szCs w:val="20"/>
        </w:rPr>
        <w:t>in this instance would allow for wider competition.</w:t>
      </w:r>
      <w:r>
        <w:rPr>
          <w:rFonts w:cs="Times New Roman"/>
          <w:b w:val="0"/>
          <w:bCs w:val="0"/>
          <w:sz w:val="24"/>
          <w:szCs w:val="20"/>
        </w:rPr>
        <w:t xml:space="preserve"> This would be subject </w:t>
      </w:r>
      <w:proofErr w:type="gramStart"/>
      <w:r>
        <w:rPr>
          <w:rFonts w:cs="Times New Roman"/>
          <w:b w:val="0"/>
          <w:bCs w:val="0"/>
          <w:sz w:val="24"/>
          <w:szCs w:val="20"/>
        </w:rPr>
        <w:t>to  Section</w:t>
      </w:r>
      <w:proofErr w:type="gramEnd"/>
      <w:r>
        <w:rPr>
          <w:rFonts w:cs="Times New Roman"/>
          <w:b w:val="0"/>
          <w:bCs w:val="0"/>
          <w:sz w:val="24"/>
          <w:szCs w:val="20"/>
        </w:rPr>
        <w:t xml:space="preserve"> 20</w:t>
      </w:r>
      <w:r w:rsidR="0058362C">
        <w:rPr>
          <w:rFonts w:cs="Times New Roman"/>
          <w:b w:val="0"/>
          <w:bCs w:val="0"/>
          <w:sz w:val="24"/>
          <w:szCs w:val="20"/>
        </w:rPr>
        <w:t xml:space="preserve"> of the </w:t>
      </w:r>
      <w:proofErr w:type="spellStart"/>
      <w:r w:rsidR="0058362C">
        <w:rPr>
          <w:rFonts w:cs="Times New Roman"/>
          <w:b w:val="0"/>
          <w:bCs w:val="0"/>
          <w:sz w:val="24"/>
          <w:szCs w:val="20"/>
        </w:rPr>
        <w:t>Commonhold</w:t>
      </w:r>
      <w:proofErr w:type="spellEnd"/>
      <w:r w:rsidR="0058362C">
        <w:rPr>
          <w:rFonts w:cs="Times New Roman"/>
          <w:b w:val="0"/>
          <w:bCs w:val="0"/>
          <w:sz w:val="24"/>
          <w:szCs w:val="20"/>
        </w:rPr>
        <w:t xml:space="preserve"> and Leasehold Reform Act 2002 (“Section 20 </w:t>
      </w:r>
      <w:r>
        <w:rPr>
          <w:rFonts w:cs="Times New Roman"/>
          <w:b w:val="0"/>
          <w:bCs w:val="0"/>
          <w:sz w:val="24"/>
          <w:szCs w:val="20"/>
        </w:rPr>
        <w:t>consultation</w:t>
      </w:r>
      <w:r w:rsidR="0058362C">
        <w:rPr>
          <w:rFonts w:cs="Times New Roman"/>
          <w:b w:val="0"/>
          <w:bCs w:val="0"/>
          <w:sz w:val="24"/>
          <w:szCs w:val="20"/>
        </w:rPr>
        <w:t>”)</w:t>
      </w:r>
      <w:r>
        <w:rPr>
          <w:rFonts w:cs="Times New Roman"/>
          <w:b w:val="0"/>
          <w:bCs w:val="0"/>
          <w:sz w:val="24"/>
          <w:szCs w:val="20"/>
        </w:rPr>
        <w:t xml:space="preserve"> and will allow us to recover a proportion of the costs from leaseholders. </w:t>
      </w:r>
    </w:p>
    <w:p w:rsidR="00145B07" w:rsidRPr="002B4441" w:rsidRDefault="00145B07" w:rsidP="00BA2C45"/>
    <w:p w:rsidR="00BA2C45" w:rsidRPr="002B4441" w:rsidRDefault="00BA2C45" w:rsidP="00EE4A18">
      <w:pPr>
        <w:ind w:firstLine="720"/>
        <w:rPr>
          <w:b/>
        </w:rPr>
      </w:pPr>
      <w:r w:rsidRPr="002B4441">
        <w:rPr>
          <w:b/>
        </w:rPr>
        <w:t>b) Setting up a framework</w:t>
      </w:r>
    </w:p>
    <w:p w:rsidR="00BA2C45" w:rsidRDefault="00C90314" w:rsidP="00EE4A18">
      <w:pPr>
        <w:ind w:left="720"/>
      </w:pPr>
      <w:r w:rsidRPr="00F50AA9">
        <w:t xml:space="preserve">This would be a time consuming process and we would also need to build in formal statutory consultation with our Leaseholders for use of any external framework. Given the nature and duration of the works this is something the Council would like to avoid due to associated </w:t>
      </w:r>
      <w:r w:rsidRPr="00F50AA9">
        <w:lastRenderedPageBreak/>
        <w:t>costs.</w:t>
      </w:r>
      <w:r w:rsidRPr="00F50AA9">
        <w:br/>
      </w:r>
    </w:p>
    <w:p w:rsidR="00C90314" w:rsidRDefault="00C90314" w:rsidP="00BA2C45"/>
    <w:p w:rsidR="00BA2C45" w:rsidRPr="00C20053" w:rsidRDefault="00BA2C45" w:rsidP="00EE4A18">
      <w:pPr>
        <w:ind w:firstLine="720"/>
        <w:rPr>
          <w:b/>
        </w:rPr>
      </w:pPr>
      <w:r w:rsidRPr="00C20053">
        <w:rPr>
          <w:b/>
        </w:rPr>
        <w:t>c) Exploration of other frameworks from neighbouring authorities</w:t>
      </w:r>
    </w:p>
    <w:p w:rsidR="00BA2C45" w:rsidRPr="00C20053" w:rsidRDefault="00BA2C45" w:rsidP="00EE4A18">
      <w:pPr>
        <w:pStyle w:val="Heading2"/>
        <w:ind w:left="720"/>
        <w:rPr>
          <w:rFonts w:cs="Times New Roman"/>
          <w:b w:val="0"/>
          <w:bCs w:val="0"/>
          <w:sz w:val="24"/>
          <w:szCs w:val="20"/>
        </w:rPr>
      </w:pPr>
      <w:r w:rsidRPr="00C20053">
        <w:rPr>
          <w:rFonts w:cs="Times New Roman"/>
          <w:b w:val="0"/>
          <w:bCs w:val="0"/>
          <w:sz w:val="24"/>
          <w:szCs w:val="20"/>
        </w:rPr>
        <w:t>Again as the service will be provided to a number of Leaseholders we would need to build in formal statutory consultation with them into the tender process and this is not supported by drawing down from external/internal frameworks.</w:t>
      </w:r>
      <w:r w:rsidR="00141EBC" w:rsidRPr="00C20053">
        <w:rPr>
          <w:rFonts w:cs="Times New Roman"/>
          <w:b w:val="0"/>
          <w:bCs w:val="0"/>
          <w:sz w:val="24"/>
          <w:szCs w:val="20"/>
        </w:rPr>
        <w:t xml:space="preserve"> In this instance, we would be unlikely to save money. Also if we </w:t>
      </w:r>
      <w:r w:rsidR="0046385D">
        <w:rPr>
          <w:rFonts w:cs="Times New Roman"/>
          <w:b w:val="0"/>
          <w:bCs w:val="0"/>
          <w:sz w:val="24"/>
          <w:szCs w:val="20"/>
        </w:rPr>
        <w:t>call off</w:t>
      </w:r>
      <w:r w:rsidR="00141EBC" w:rsidRPr="00C20053">
        <w:rPr>
          <w:rFonts w:cs="Times New Roman"/>
          <w:b w:val="0"/>
          <w:bCs w:val="0"/>
          <w:sz w:val="24"/>
          <w:szCs w:val="20"/>
        </w:rPr>
        <w:t xml:space="preserve"> from a framework, we will still </w:t>
      </w:r>
      <w:r w:rsidR="00322158" w:rsidRPr="00C20053">
        <w:rPr>
          <w:rFonts w:cs="Times New Roman"/>
          <w:b w:val="0"/>
          <w:bCs w:val="0"/>
          <w:sz w:val="24"/>
          <w:szCs w:val="20"/>
        </w:rPr>
        <w:t>be required</w:t>
      </w:r>
      <w:r w:rsidR="00141EBC" w:rsidRPr="00C20053">
        <w:rPr>
          <w:rFonts w:cs="Times New Roman"/>
          <w:b w:val="0"/>
          <w:bCs w:val="0"/>
          <w:sz w:val="24"/>
          <w:szCs w:val="20"/>
        </w:rPr>
        <w:t xml:space="preserve"> to consult with the Leasehold body across Harrow which will be time consuming.</w:t>
      </w:r>
    </w:p>
    <w:p w:rsidR="00BA2C45" w:rsidRDefault="00BA2C45" w:rsidP="00BA2C45"/>
    <w:p w:rsidR="00BA2C45" w:rsidRPr="00465DE8" w:rsidRDefault="00BA2C45" w:rsidP="00EE4A18">
      <w:pPr>
        <w:ind w:firstLine="720"/>
        <w:rPr>
          <w:b/>
        </w:rPr>
      </w:pPr>
      <w:r w:rsidRPr="00465DE8">
        <w:rPr>
          <w:b/>
        </w:rPr>
        <w:t>d) Do nothing</w:t>
      </w:r>
    </w:p>
    <w:p w:rsidR="00BA2C45" w:rsidRPr="00465DE8" w:rsidRDefault="00BA2C45" w:rsidP="00EE4A18">
      <w:pPr>
        <w:ind w:left="720"/>
      </w:pPr>
      <w:r>
        <w:t>This is not an option</w:t>
      </w:r>
      <w:r w:rsidR="00137272">
        <w:t>,</w:t>
      </w:r>
      <w:r w:rsidR="00C90314">
        <w:t xml:space="preserve"> as these are required works to ensure continued Health and Safety for our residents.</w:t>
      </w:r>
      <w:r>
        <w:t xml:space="preserve"> </w:t>
      </w:r>
      <w:r w:rsidR="00C90314">
        <w:t xml:space="preserve"> </w:t>
      </w:r>
    </w:p>
    <w:p w:rsidR="00BA2C45" w:rsidRPr="00A50990" w:rsidRDefault="00BA2C45" w:rsidP="00BA2C45"/>
    <w:p w:rsidR="00131735" w:rsidRDefault="009C3FE2" w:rsidP="00EE4A18">
      <w:pPr>
        <w:pStyle w:val="Heading2"/>
        <w:ind w:left="720" w:hanging="720"/>
        <w:rPr>
          <w:rFonts w:cs="Times New Roman"/>
          <w:b w:val="0"/>
          <w:bCs w:val="0"/>
          <w:sz w:val="24"/>
          <w:szCs w:val="20"/>
        </w:rPr>
      </w:pPr>
      <w:r w:rsidRPr="00131735">
        <w:rPr>
          <w:rFonts w:cs="Times New Roman"/>
          <w:bCs w:val="0"/>
          <w:sz w:val="24"/>
          <w:szCs w:val="20"/>
        </w:rPr>
        <w:t>3.2</w:t>
      </w:r>
      <w:r w:rsidRPr="00EE4A18">
        <w:rPr>
          <w:rFonts w:cs="Times New Roman"/>
          <w:b w:val="0"/>
          <w:bCs w:val="0"/>
          <w:sz w:val="24"/>
          <w:szCs w:val="20"/>
        </w:rPr>
        <w:t xml:space="preserve"> </w:t>
      </w:r>
      <w:r w:rsidR="00A456F1">
        <w:rPr>
          <w:rFonts w:cs="Times New Roman"/>
          <w:b w:val="0"/>
          <w:bCs w:val="0"/>
          <w:sz w:val="24"/>
          <w:szCs w:val="20"/>
        </w:rPr>
        <w:tab/>
      </w:r>
      <w:r w:rsidR="00131735" w:rsidRPr="00131735">
        <w:rPr>
          <w:rFonts w:cs="Times New Roman"/>
          <w:bCs w:val="0"/>
          <w:sz w:val="24"/>
          <w:szCs w:val="20"/>
        </w:rPr>
        <w:t>Conclusion</w:t>
      </w:r>
    </w:p>
    <w:p w:rsidR="00BA2C45" w:rsidRDefault="00BA2C45" w:rsidP="00131735">
      <w:pPr>
        <w:pStyle w:val="Heading2"/>
        <w:ind w:left="720"/>
        <w:rPr>
          <w:rFonts w:cs="Times New Roman"/>
          <w:b w:val="0"/>
          <w:bCs w:val="0"/>
          <w:sz w:val="24"/>
          <w:szCs w:val="20"/>
        </w:rPr>
      </w:pPr>
      <w:r w:rsidRPr="00EE4A18">
        <w:rPr>
          <w:rFonts w:cs="Times New Roman"/>
          <w:b w:val="0"/>
          <w:bCs w:val="0"/>
          <w:sz w:val="24"/>
          <w:szCs w:val="20"/>
        </w:rPr>
        <w:t>In conclusion from the options considered above</w:t>
      </w:r>
      <w:r w:rsidR="00137272" w:rsidRPr="00EE4A18">
        <w:rPr>
          <w:rFonts w:cs="Times New Roman"/>
          <w:b w:val="0"/>
          <w:bCs w:val="0"/>
          <w:sz w:val="24"/>
          <w:szCs w:val="20"/>
        </w:rPr>
        <w:t>,</w:t>
      </w:r>
      <w:r w:rsidRPr="00EE4A18">
        <w:rPr>
          <w:rFonts w:cs="Times New Roman"/>
          <w:b w:val="0"/>
          <w:bCs w:val="0"/>
          <w:sz w:val="24"/>
          <w:szCs w:val="20"/>
        </w:rPr>
        <w:t xml:space="preserve"> Option A is preferred as the open tender will invite competitive prices, provide a quicker route to market (especially as there is an urgent need to carry out the compliance works) and enable the recovery of a proportion of costs from the leaseholders under statutory S</w:t>
      </w:r>
      <w:r w:rsidR="0058362C">
        <w:rPr>
          <w:rFonts w:cs="Times New Roman"/>
          <w:b w:val="0"/>
          <w:bCs w:val="0"/>
          <w:sz w:val="24"/>
          <w:szCs w:val="20"/>
        </w:rPr>
        <w:t xml:space="preserve">ection </w:t>
      </w:r>
      <w:r w:rsidRPr="00EE4A18">
        <w:rPr>
          <w:rFonts w:cs="Times New Roman"/>
          <w:b w:val="0"/>
          <w:bCs w:val="0"/>
          <w:sz w:val="24"/>
          <w:szCs w:val="20"/>
        </w:rPr>
        <w:t>20 consultations. This is the recommended option.</w:t>
      </w:r>
    </w:p>
    <w:p w:rsidR="000873B0" w:rsidRDefault="000873B0" w:rsidP="00F66B51"/>
    <w:p w:rsidR="00F66B51" w:rsidRPr="003476B1" w:rsidRDefault="00F66B51" w:rsidP="00F66B51">
      <w:pPr>
        <w:ind w:left="720"/>
        <w:rPr>
          <w:rFonts w:cs="Arial"/>
          <w:bCs/>
        </w:rPr>
      </w:pPr>
      <w:r w:rsidRPr="003476B1">
        <w:rPr>
          <w:rFonts w:cs="Arial"/>
          <w:bCs/>
        </w:rPr>
        <w:t>Leaseholders will be fully consulted regarding these works in accordance with statute as set out in Section 20 of the Landlord and Tenant Act 1985. This has a number of stages including a notice of intention, notification of estimates and notification of award of contract. As part of this process leaseholders will receive a copy of the Council’s fire safety standard which explains why these works are necessary and at least two estimates of the likely cost.</w:t>
      </w:r>
    </w:p>
    <w:p w:rsidR="00F66B51" w:rsidRDefault="00F66B51" w:rsidP="00F66B51">
      <w:pPr>
        <w:rPr>
          <w:rFonts w:cs="Arial"/>
          <w:color w:val="1F497D"/>
        </w:rPr>
      </w:pPr>
    </w:p>
    <w:p w:rsidR="00BA2C45" w:rsidRPr="001C500E" w:rsidRDefault="006319FD" w:rsidP="00BA2C45">
      <w:pPr>
        <w:pStyle w:val="Heading2"/>
      </w:pPr>
      <w:r>
        <w:t>4.</w:t>
      </w:r>
      <w:r w:rsidR="003D062B">
        <w:t>0</w:t>
      </w:r>
      <w:r>
        <w:t xml:space="preserve"> </w:t>
      </w:r>
      <w:r w:rsidR="00A456F1">
        <w:tab/>
      </w:r>
      <w:r w:rsidR="00BA2C45" w:rsidRPr="001C500E">
        <w:t xml:space="preserve">Background </w:t>
      </w:r>
    </w:p>
    <w:p w:rsidR="00BA2C45" w:rsidRPr="001566B4" w:rsidRDefault="00BA2C45" w:rsidP="00BA2C45"/>
    <w:p w:rsidR="00137272" w:rsidRDefault="006319FD" w:rsidP="00EE4A18">
      <w:pPr>
        <w:ind w:left="720" w:hanging="720"/>
        <w:jc w:val="both"/>
      </w:pPr>
      <w:r>
        <w:t>4</w:t>
      </w:r>
      <w:r w:rsidR="00BA2C45" w:rsidRPr="006F2934">
        <w:t xml:space="preserve">.1 </w:t>
      </w:r>
      <w:r w:rsidR="00A456F1">
        <w:tab/>
      </w:r>
      <w:r w:rsidR="003D062B">
        <w:t xml:space="preserve">This </w:t>
      </w:r>
      <w:r w:rsidR="003D062B" w:rsidRPr="001566B4">
        <w:t>project</w:t>
      </w:r>
      <w:r w:rsidR="00BA2C45" w:rsidRPr="001566B4">
        <w:t xml:space="preserve"> </w:t>
      </w:r>
      <w:r w:rsidR="00BA2C45">
        <w:t>will be</w:t>
      </w:r>
      <w:r w:rsidR="00BA2C45" w:rsidRPr="001566B4">
        <w:t xml:space="preserve"> included </w:t>
      </w:r>
      <w:r w:rsidR="00BA2C45">
        <w:t>within the</w:t>
      </w:r>
      <w:r w:rsidR="00773F4F">
        <w:t xml:space="preserve"> 2021</w:t>
      </w:r>
      <w:r w:rsidR="00BA2C45" w:rsidRPr="001566B4">
        <w:t xml:space="preserve"> Housing Capital Programme</w:t>
      </w:r>
      <w:r w:rsidR="00DD0180">
        <w:t xml:space="preserve"> appearing elsewhere on this agenda</w:t>
      </w:r>
      <w:r w:rsidR="00BA2C45" w:rsidRPr="001566B4">
        <w:t>.</w:t>
      </w:r>
      <w:r w:rsidR="00BA2C45">
        <w:t xml:space="preserve"> </w:t>
      </w:r>
      <w:r w:rsidR="00BA2C45" w:rsidRPr="001566B4">
        <w:t xml:space="preserve">The works are essential </w:t>
      </w:r>
      <w:r w:rsidR="00BA2C45">
        <w:t xml:space="preserve">to </w:t>
      </w:r>
      <w:r w:rsidR="00BA2C45" w:rsidRPr="001566B4">
        <w:t>improve fire safety and overall stock maintenance.</w:t>
      </w:r>
      <w:r w:rsidR="009F43EA">
        <w:t xml:space="preserve"> This forms part of a multi-faceted approach to fire safety where several projects are running simultaneously in order to achieve fire safety within our assets.</w:t>
      </w:r>
      <w:r w:rsidR="00BA2C45">
        <w:t xml:space="preserve"> </w:t>
      </w:r>
    </w:p>
    <w:p w:rsidR="00B7531B" w:rsidRDefault="00B7531B" w:rsidP="00EE4A18">
      <w:pPr>
        <w:ind w:left="720" w:hanging="720"/>
        <w:jc w:val="both"/>
      </w:pPr>
    </w:p>
    <w:p w:rsidR="00137272" w:rsidRDefault="00137272" w:rsidP="00EE4A18">
      <w:pPr>
        <w:ind w:left="720"/>
        <w:jc w:val="both"/>
      </w:pPr>
      <w:r>
        <w:t>Following the Grenfell incident of 2017</w:t>
      </w:r>
      <w:r w:rsidR="0058362C">
        <w:t>,</w:t>
      </w:r>
      <w:r>
        <w:t xml:space="preserve"> the Council’s focus and approach has changed and there is an increased emphasis on </w:t>
      </w:r>
      <w:r w:rsidR="00773F4F">
        <w:t xml:space="preserve">prioritising </w:t>
      </w:r>
      <w:r w:rsidR="0058362C">
        <w:t>h</w:t>
      </w:r>
      <w:r>
        <w:t xml:space="preserve">ealth and </w:t>
      </w:r>
      <w:r w:rsidR="0058362C">
        <w:t>s</w:t>
      </w:r>
      <w:r>
        <w:t xml:space="preserve">afety related works to ensure the safety of our residents. </w:t>
      </w:r>
      <w:r w:rsidR="00BA2C45" w:rsidRPr="001566B4">
        <w:t>The aim of th</w:t>
      </w:r>
      <w:r>
        <w:t>is</w:t>
      </w:r>
      <w:r w:rsidR="00BA2C45" w:rsidRPr="001566B4">
        <w:t xml:space="preserve"> project is to </w:t>
      </w:r>
      <w:r w:rsidR="00FD088F" w:rsidRPr="00145B07">
        <w:t>supply and fit new flat doors, closers and frames which are FD30</w:t>
      </w:r>
      <w:r>
        <w:t xml:space="preserve"> standard and t</w:t>
      </w:r>
      <w:r w:rsidR="00FD088F" w:rsidRPr="00145B07">
        <w:t xml:space="preserve">o remove the existing door and frame and dispose of </w:t>
      </w:r>
      <w:r w:rsidR="0058362C">
        <w:t xml:space="preserve">them </w:t>
      </w:r>
      <w:r w:rsidR="00FD088F" w:rsidRPr="00145B07">
        <w:t xml:space="preserve">responsibly. </w:t>
      </w:r>
      <w:r>
        <w:t>Doors have been identified by carrying out Fire Risk Assessments (FRA) and have been placed on an internal programme.</w:t>
      </w:r>
    </w:p>
    <w:p w:rsidR="009F43EA" w:rsidRDefault="009F43EA" w:rsidP="00EE4A18">
      <w:pPr>
        <w:ind w:left="720"/>
        <w:jc w:val="both"/>
      </w:pPr>
    </w:p>
    <w:p w:rsidR="009F43EA" w:rsidRDefault="009F43EA" w:rsidP="009F43EA">
      <w:pPr>
        <w:ind w:left="720"/>
        <w:jc w:val="both"/>
      </w:pPr>
      <w:r>
        <w:t xml:space="preserve">The strategy of door replacement has been a phased approach focussing on our highest risk blocks; therefore, the focus will be on 4 Storey Blocks as these represent the highest buildings in our asset </w:t>
      </w:r>
      <w:r>
        <w:lastRenderedPageBreak/>
        <w:t>stock. The intention is to complete this phase by spring 2020. Following on from this, it is intended to complete all 3 storey’s blocks and then 2 Storey’s blocks.</w:t>
      </w:r>
    </w:p>
    <w:p w:rsidR="009F43EA" w:rsidRDefault="009F43EA" w:rsidP="009F43EA">
      <w:pPr>
        <w:ind w:left="720"/>
        <w:jc w:val="both"/>
      </w:pPr>
    </w:p>
    <w:p w:rsidR="009F43EA" w:rsidRDefault="009F43EA" w:rsidP="009F43EA">
      <w:pPr>
        <w:ind w:left="720"/>
        <w:jc w:val="both"/>
      </w:pPr>
      <w:r>
        <w:t xml:space="preserve">Alongside the door renewal project, the </w:t>
      </w:r>
      <w:r w:rsidR="0058362C">
        <w:t>C</w:t>
      </w:r>
      <w:r>
        <w:t>ouncil has engaged with Passive Safety Fire frameworks in order to improve the fire compartmentation of its stock. We are currently working across the 18 sheltered scheme sites where there has been installation of fire doors and door closers.</w:t>
      </w:r>
    </w:p>
    <w:p w:rsidR="009F43EA" w:rsidRDefault="009F43EA" w:rsidP="009F43EA">
      <w:pPr>
        <w:ind w:left="720"/>
      </w:pPr>
    </w:p>
    <w:p w:rsidR="009F43EA" w:rsidRDefault="009F43EA" w:rsidP="009F43EA">
      <w:pPr>
        <w:ind w:left="720"/>
      </w:pPr>
      <w:r>
        <w:t>The Council is also undertaking renewal of alarm detection systems within individual dwellings (Residents and Leaseholders) and emergency lighting in communal stairwells.</w:t>
      </w:r>
      <w:r w:rsidR="007B0FDE">
        <w:t xml:space="preserve"> </w:t>
      </w:r>
    </w:p>
    <w:p w:rsidR="009F43EA" w:rsidRDefault="009F43EA" w:rsidP="00EE4A18">
      <w:pPr>
        <w:ind w:left="720"/>
        <w:jc w:val="both"/>
      </w:pPr>
    </w:p>
    <w:p w:rsidR="00141EBC" w:rsidRDefault="00141EBC" w:rsidP="00FD088F">
      <w:pPr>
        <w:jc w:val="both"/>
      </w:pPr>
    </w:p>
    <w:p w:rsidR="00141EBC" w:rsidRDefault="003D062B" w:rsidP="00EE4A18">
      <w:pPr>
        <w:ind w:left="720" w:hanging="720"/>
        <w:jc w:val="both"/>
      </w:pPr>
      <w:r>
        <w:t xml:space="preserve">4.2 </w:t>
      </w:r>
      <w:r w:rsidR="00A456F1">
        <w:tab/>
      </w:r>
      <w:r w:rsidR="00141EBC" w:rsidRPr="00C20053">
        <w:t xml:space="preserve">This </w:t>
      </w:r>
      <w:r w:rsidR="00322158" w:rsidRPr="00C20053">
        <w:t>programme will</w:t>
      </w:r>
      <w:r w:rsidR="00141EBC" w:rsidRPr="00C20053">
        <w:t xml:space="preserve"> be </w:t>
      </w:r>
      <w:r w:rsidR="00322158" w:rsidRPr="00C20053">
        <w:t>working</w:t>
      </w:r>
      <w:r w:rsidR="00141EBC" w:rsidRPr="00C20053">
        <w:t xml:space="preserve"> in conju</w:t>
      </w:r>
      <w:r w:rsidR="00322158" w:rsidRPr="00C20053">
        <w:t>nction w</w:t>
      </w:r>
      <w:r w:rsidR="00141EBC" w:rsidRPr="00C20053">
        <w:t>ith</w:t>
      </w:r>
      <w:r w:rsidR="00322158" w:rsidRPr="00C20053">
        <w:t xml:space="preserve"> the upcoming Homesafe </w:t>
      </w:r>
      <w:r w:rsidR="00141EBC" w:rsidRPr="00C20053">
        <w:t>3</w:t>
      </w:r>
      <w:r w:rsidR="00322158" w:rsidRPr="00C20053">
        <w:t xml:space="preserve"> programme which will cover further</w:t>
      </w:r>
      <w:r w:rsidR="009F43EA">
        <w:t xml:space="preserve"> elements of fire safety. The </w:t>
      </w:r>
      <w:r w:rsidR="00322158" w:rsidRPr="00C20053">
        <w:t>replacement of fire doors is on</w:t>
      </w:r>
      <w:r w:rsidR="00141EBC" w:rsidRPr="00C20053">
        <w:t xml:space="preserve"> a </w:t>
      </w:r>
      <w:r w:rsidR="00322158" w:rsidRPr="00C20053">
        <w:t>separate</w:t>
      </w:r>
      <w:r w:rsidR="00141EBC" w:rsidRPr="00C20053">
        <w:t xml:space="preserve"> prog</w:t>
      </w:r>
      <w:r w:rsidR="00322158" w:rsidRPr="00C20053">
        <w:t>ramme</w:t>
      </w:r>
      <w:r w:rsidR="00141EBC" w:rsidRPr="00C20053">
        <w:t xml:space="preserve"> </w:t>
      </w:r>
      <w:r w:rsidR="00322158" w:rsidRPr="00C20053">
        <w:t xml:space="preserve">as </w:t>
      </w:r>
      <w:r w:rsidR="00141EBC" w:rsidRPr="00C20053">
        <w:t xml:space="preserve">we are </w:t>
      </w:r>
      <w:r w:rsidR="00322158" w:rsidRPr="00C20053">
        <w:t>pro-actively</w:t>
      </w:r>
      <w:r w:rsidR="00141EBC" w:rsidRPr="00C20053">
        <w:t xml:space="preserve"> managing our highest ris</w:t>
      </w:r>
      <w:r w:rsidR="00322158" w:rsidRPr="00C20053">
        <w:t>k in</w:t>
      </w:r>
      <w:r w:rsidR="00141EBC" w:rsidRPr="00C20053">
        <w:t xml:space="preserve"> terms of fire safety</w:t>
      </w:r>
      <w:r w:rsidR="006319FD">
        <w:t>.</w:t>
      </w:r>
      <w:r w:rsidR="00141EBC" w:rsidRPr="00C20053">
        <w:t xml:space="preserve"> </w:t>
      </w:r>
      <w:r w:rsidR="009F43EA">
        <w:t>The</w:t>
      </w:r>
      <w:r w:rsidR="007B0FDE">
        <w:t xml:space="preserve"> Homesafe programme consists of renewal of communal block entrance doors with video phone entry systems to improve security and safety. Front Entrance doors and any communal store doors and emergency lighting in communal areas along with alarm detection systems. The </w:t>
      </w:r>
      <w:r w:rsidR="0058362C">
        <w:t>C</w:t>
      </w:r>
      <w:r w:rsidR="007B0FDE">
        <w:t xml:space="preserve">ouncil is currently running with its Homesafe 2 programme which consists of work to over 40 blocks of 4 Storey </w:t>
      </w:r>
      <w:proofErr w:type="gramStart"/>
      <w:r w:rsidR="007B0FDE">
        <w:t>height</w:t>
      </w:r>
      <w:proofErr w:type="gramEnd"/>
      <w:r w:rsidR="007B0FDE">
        <w:t>.</w:t>
      </w:r>
    </w:p>
    <w:p w:rsidR="00173AF4" w:rsidRPr="00C20053" w:rsidRDefault="00173AF4" w:rsidP="00EE4A18">
      <w:pPr>
        <w:ind w:left="720" w:hanging="720"/>
        <w:jc w:val="both"/>
        <w:rPr>
          <w:b/>
        </w:rPr>
      </w:pPr>
    </w:p>
    <w:p w:rsidR="00141EBC" w:rsidRPr="009C3FE2" w:rsidRDefault="009C3FE2" w:rsidP="00141EBC">
      <w:pPr>
        <w:jc w:val="both"/>
      </w:pPr>
      <w:r w:rsidRPr="009C3FE2">
        <w:t xml:space="preserve">4.3 </w:t>
      </w:r>
      <w:r w:rsidR="00A456F1">
        <w:tab/>
      </w:r>
      <w:r w:rsidR="00141EBC" w:rsidRPr="009C3FE2">
        <w:t>Installation of certified fire doors</w:t>
      </w:r>
    </w:p>
    <w:p w:rsidR="00141EBC" w:rsidRPr="00C20053" w:rsidRDefault="00141EBC" w:rsidP="00EE4A18">
      <w:pPr>
        <w:ind w:left="720"/>
        <w:jc w:val="both"/>
      </w:pPr>
      <w:r w:rsidRPr="00C20053">
        <w:t>A test certificate for all replacement doors will be provided by the contractor supplying/fitting the door, confirming that it meets the required fire safety standard. The fire doors will be marked in acc</w:t>
      </w:r>
      <w:r w:rsidR="00322158" w:rsidRPr="00C20053">
        <w:t xml:space="preserve">ordance with an accredited fire </w:t>
      </w:r>
      <w:r w:rsidRPr="00C20053">
        <w:t xml:space="preserve">door installation scheme. </w:t>
      </w:r>
      <w:r w:rsidR="00322158" w:rsidRPr="00C20053">
        <w:t xml:space="preserve"> </w:t>
      </w:r>
      <w:r w:rsidRPr="00C20053">
        <w:t xml:space="preserve">Composite fire doors on the market should all have furnace test certificates for both sides of the door </w:t>
      </w:r>
      <w:r w:rsidR="00322158" w:rsidRPr="00C20053">
        <w:t>e.g.</w:t>
      </w:r>
      <w:r w:rsidRPr="00C20053">
        <w:t xml:space="preserve"> </w:t>
      </w:r>
      <w:r w:rsidR="00D8479C" w:rsidRPr="00C20053">
        <w:t>f</w:t>
      </w:r>
      <w:r w:rsidRPr="00C20053">
        <w:t xml:space="preserve">rom Warrington Fire FIRAS Scheme for </w:t>
      </w:r>
      <w:r w:rsidR="00322158" w:rsidRPr="00C20053">
        <w:t>fire doors</w:t>
      </w:r>
      <w:r w:rsidRPr="00C20053">
        <w:t xml:space="preserve"> (Industry Standard Test House).</w:t>
      </w:r>
    </w:p>
    <w:p w:rsidR="00141EBC" w:rsidRPr="00C20053" w:rsidRDefault="00141EBC" w:rsidP="00FD088F">
      <w:pPr>
        <w:jc w:val="both"/>
      </w:pPr>
    </w:p>
    <w:p w:rsidR="00BA2C45" w:rsidRPr="00C20053" w:rsidRDefault="00D8479C" w:rsidP="00EE4A18">
      <w:pPr>
        <w:ind w:left="720"/>
        <w:jc w:val="both"/>
      </w:pPr>
      <w:r w:rsidRPr="00C20053">
        <w:t>If necessary,</w:t>
      </w:r>
      <w:r w:rsidR="00FD088F" w:rsidRPr="00C20053">
        <w:t xml:space="preserve"> the work may also include upgrading integral fan lights/side panels </w:t>
      </w:r>
      <w:r w:rsidR="00137272" w:rsidRPr="00C20053">
        <w:t xml:space="preserve">and </w:t>
      </w:r>
      <w:r w:rsidR="00FD088F" w:rsidRPr="00C20053">
        <w:t>meter cupboards. The properties</w:t>
      </w:r>
      <w:r w:rsidR="00322068" w:rsidRPr="00C20053">
        <w:t xml:space="preserve"> for the above works</w:t>
      </w:r>
      <w:r w:rsidR="00FD088F" w:rsidRPr="00C20053">
        <w:t xml:space="preserve"> are located </w:t>
      </w:r>
      <w:r w:rsidR="00BA2C45" w:rsidRPr="00C20053">
        <w:t>across the London Borough of Harrow</w:t>
      </w:r>
      <w:r w:rsidR="00216DC2" w:rsidRPr="00C20053">
        <w:t>.</w:t>
      </w:r>
      <w:r w:rsidR="00137272" w:rsidRPr="00C20053">
        <w:t xml:space="preserve"> </w:t>
      </w:r>
      <w:r w:rsidR="00216DC2" w:rsidRPr="00C20053">
        <w:t>W</w:t>
      </w:r>
      <w:r w:rsidR="00137272" w:rsidRPr="00C20053">
        <w:t xml:space="preserve">e are currently </w:t>
      </w:r>
      <w:r w:rsidR="00216DC2" w:rsidRPr="00C20053">
        <w:t>installing new Fire Doors to our</w:t>
      </w:r>
      <w:r w:rsidR="00137272" w:rsidRPr="00C20053">
        <w:t xml:space="preserve"> four storey</w:t>
      </w:r>
      <w:r w:rsidR="00216DC2" w:rsidRPr="00C20053">
        <w:t xml:space="preserve"> blocks.  In 20/21 we will complete the install to all our 3 storey bocks.</w:t>
      </w:r>
    </w:p>
    <w:p w:rsidR="00BA2C45" w:rsidRDefault="00BA2C45" w:rsidP="00BA2C45">
      <w:pPr>
        <w:ind w:left="720" w:hanging="720"/>
        <w:jc w:val="both"/>
      </w:pPr>
    </w:p>
    <w:p w:rsidR="00BA2C45" w:rsidRPr="00C20053" w:rsidRDefault="009C3FE2" w:rsidP="00EE4A18">
      <w:pPr>
        <w:ind w:left="720" w:hanging="720"/>
      </w:pPr>
      <w:r>
        <w:t xml:space="preserve">4.4 </w:t>
      </w:r>
      <w:r w:rsidR="00A456F1">
        <w:tab/>
      </w:r>
      <w:r w:rsidR="00BA2C45" w:rsidRPr="00C20053">
        <w:t xml:space="preserve">The result will be improved </w:t>
      </w:r>
      <w:r w:rsidR="00C720B8" w:rsidRPr="00C20053">
        <w:t>fire safety</w:t>
      </w:r>
      <w:r w:rsidR="008D2B5E" w:rsidRPr="00C20053">
        <w:t xml:space="preserve"> for all residents. </w:t>
      </w:r>
      <w:r w:rsidR="00322158" w:rsidRPr="00C20053">
        <w:t xml:space="preserve"> There will be 1126 doors across the </w:t>
      </w:r>
      <w:r w:rsidR="004F092E">
        <w:t>B</w:t>
      </w:r>
      <w:r w:rsidR="00322158" w:rsidRPr="00C20053">
        <w:t xml:space="preserve">orough that </w:t>
      </w:r>
      <w:proofErr w:type="gramStart"/>
      <w:r w:rsidR="00322158" w:rsidRPr="00C20053">
        <w:t>are</w:t>
      </w:r>
      <w:proofErr w:type="gramEnd"/>
      <w:r w:rsidR="00322158" w:rsidRPr="00C20053">
        <w:t xml:space="preserve"> to be replaced and the new</w:t>
      </w:r>
      <w:r w:rsidR="008D2B5E" w:rsidRPr="00C20053">
        <w:t xml:space="preserve"> </w:t>
      </w:r>
      <w:r w:rsidR="00141EBC" w:rsidRPr="00C20053">
        <w:t xml:space="preserve">doors </w:t>
      </w:r>
      <w:r w:rsidR="008D2B5E" w:rsidRPr="00C20053">
        <w:t xml:space="preserve">will be fully compliant with </w:t>
      </w:r>
      <w:r w:rsidR="002865A8">
        <w:t xml:space="preserve">all relevant </w:t>
      </w:r>
      <w:r w:rsidR="004F092E">
        <w:t>statutory</w:t>
      </w:r>
      <w:r w:rsidR="002865A8">
        <w:t xml:space="preserve"> and </w:t>
      </w:r>
      <w:r w:rsidR="004F092E" w:rsidRPr="00C20053">
        <w:t xml:space="preserve">regulatory </w:t>
      </w:r>
      <w:r w:rsidR="004F092E">
        <w:t>requirement</w:t>
      </w:r>
      <w:r w:rsidR="002865A8">
        <w:t>s</w:t>
      </w:r>
      <w:r w:rsidR="008D2B5E" w:rsidRPr="00C20053">
        <w:t xml:space="preserve">. </w:t>
      </w:r>
      <w:r w:rsidR="00BA2C45" w:rsidRPr="00C20053">
        <w:t>The contract will also include</w:t>
      </w:r>
      <w:r w:rsidR="008D2B5E" w:rsidRPr="00C20053">
        <w:t xml:space="preserve"> integral</w:t>
      </w:r>
      <w:r w:rsidR="00BA2C45" w:rsidRPr="00C20053">
        <w:t xml:space="preserve"> </w:t>
      </w:r>
      <w:r w:rsidR="008D2B5E" w:rsidRPr="00C20053">
        <w:t>side/</w:t>
      </w:r>
      <w:r w:rsidR="00322158" w:rsidRPr="00C20053">
        <w:t xml:space="preserve"> </w:t>
      </w:r>
      <w:r w:rsidR="008D2B5E" w:rsidRPr="00C20053">
        <w:t>top panes and meter cupboards</w:t>
      </w:r>
      <w:r w:rsidR="002865A8">
        <w:t>.</w:t>
      </w:r>
      <w:r w:rsidR="008D2B5E" w:rsidRPr="00C20053">
        <w:t xml:space="preserve"> </w:t>
      </w:r>
    </w:p>
    <w:p w:rsidR="00333FAA" w:rsidRPr="00C20053" w:rsidRDefault="00333FAA" w:rsidP="00333FAA"/>
    <w:p w:rsidR="008D2B5E" w:rsidRDefault="006319FD" w:rsidP="008D2B5E">
      <w:pPr>
        <w:pStyle w:val="Heading2"/>
      </w:pPr>
      <w:r>
        <w:t xml:space="preserve">5.0 </w:t>
      </w:r>
      <w:r w:rsidR="00A456F1">
        <w:tab/>
      </w:r>
      <w:r w:rsidR="008D2B5E" w:rsidRPr="00137272">
        <w:t>Why a change is needed</w:t>
      </w:r>
    </w:p>
    <w:p w:rsidR="00173AF4" w:rsidRPr="00173AF4" w:rsidRDefault="00173AF4" w:rsidP="003E23C9"/>
    <w:p w:rsidR="00322068" w:rsidRDefault="003D062B" w:rsidP="00EE4A18">
      <w:pPr>
        <w:ind w:left="720" w:hanging="720"/>
        <w:jc w:val="both"/>
      </w:pPr>
      <w:r>
        <w:t xml:space="preserve">5.1 </w:t>
      </w:r>
      <w:r w:rsidR="00A456F1">
        <w:tab/>
      </w:r>
      <w:r w:rsidR="008D2B5E" w:rsidRPr="00137272">
        <w:t xml:space="preserve">A change is needed because </w:t>
      </w:r>
      <w:r w:rsidR="002865A8">
        <w:t>t</w:t>
      </w:r>
      <w:r w:rsidR="00322068" w:rsidRPr="00137272">
        <w:t>hi</w:t>
      </w:r>
      <w:r w:rsidR="00137272">
        <w:t>s is statutory improvement work</w:t>
      </w:r>
      <w:r w:rsidR="00322068" w:rsidRPr="00137272">
        <w:t xml:space="preserve"> under the Regulatory Reform (Fire Safety) Order 2005 (RRO). The fire rated doors offer a minimum of 30 minute protection from smoke and fire and self-closer to prevent the spread of fire and smoke. This ensures </w:t>
      </w:r>
      <w:r w:rsidR="00322068" w:rsidRPr="00137272">
        <w:lastRenderedPageBreak/>
        <w:t>sufficient compartmentation of the communal and private areas within the block of flats that ensure escape routes and common spaces are protected.</w:t>
      </w:r>
    </w:p>
    <w:p w:rsidR="00216DC2" w:rsidRPr="00137272" w:rsidRDefault="00216DC2" w:rsidP="00322068">
      <w:pPr>
        <w:jc w:val="both"/>
      </w:pPr>
    </w:p>
    <w:p w:rsidR="00322068" w:rsidRPr="00137272" w:rsidRDefault="003D062B" w:rsidP="00EE4A18">
      <w:pPr>
        <w:ind w:left="720" w:hanging="720"/>
        <w:jc w:val="both"/>
      </w:pPr>
      <w:r>
        <w:t xml:space="preserve">5.2 </w:t>
      </w:r>
      <w:r w:rsidR="00A456F1">
        <w:tab/>
      </w:r>
      <w:r w:rsidR="00322068" w:rsidRPr="00137272">
        <w:t>Where the dwelling doors are deemed to alrea</w:t>
      </w:r>
      <w:r w:rsidR="00137272">
        <w:t>dy have a minimum rating of 30 m</w:t>
      </w:r>
      <w:r w:rsidR="00322068" w:rsidRPr="00137272">
        <w:t>inute protection, they will be upgraded with a new door closer.</w:t>
      </w:r>
    </w:p>
    <w:p w:rsidR="008D2B5E" w:rsidRPr="00137272" w:rsidRDefault="008D2B5E" w:rsidP="008D2B5E">
      <w:pPr>
        <w:pStyle w:val="Heading3"/>
        <w:ind w:left="0" w:firstLine="0"/>
        <w:rPr>
          <w:i w:val="0"/>
        </w:rPr>
      </w:pPr>
    </w:p>
    <w:p w:rsidR="008D2B5E" w:rsidRPr="00137272" w:rsidRDefault="003D062B" w:rsidP="008D2B5E">
      <w:pPr>
        <w:pStyle w:val="Heading4"/>
        <w:rPr>
          <w:szCs w:val="24"/>
        </w:rPr>
      </w:pPr>
      <w:r>
        <w:rPr>
          <w:szCs w:val="24"/>
        </w:rPr>
        <w:t>6.0</w:t>
      </w:r>
      <w:r w:rsidR="00A456F1">
        <w:rPr>
          <w:szCs w:val="24"/>
        </w:rPr>
        <w:tab/>
      </w:r>
      <w:r>
        <w:rPr>
          <w:szCs w:val="24"/>
        </w:rPr>
        <w:t xml:space="preserve"> </w:t>
      </w:r>
      <w:r w:rsidR="008D2B5E" w:rsidRPr="00137272">
        <w:rPr>
          <w:szCs w:val="24"/>
        </w:rPr>
        <w:t xml:space="preserve">Resources, costs </w:t>
      </w:r>
    </w:p>
    <w:p w:rsidR="008D2B5E" w:rsidRPr="00782525" w:rsidRDefault="003D062B" w:rsidP="00EE4A18">
      <w:pPr>
        <w:ind w:left="720" w:hanging="720"/>
        <w:rPr>
          <w:color w:val="000000" w:themeColor="text1"/>
        </w:rPr>
      </w:pPr>
      <w:r>
        <w:rPr>
          <w:color w:val="000000" w:themeColor="text1"/>
        </w:rPr>
        <w:t xml:space="preserve">6.1 </w:t>
      </w:r>
      <w:r w:rsidR="00A456F1">
        <w:rPr>
          <w:color w:val="000000" w:themeColor="text1"/>
        </w:rPr>
        <w:tab/>
      </w:r>
      <w:r w:rsidR="008D2B5E" w:rsidRPr="00782525">
        <w:rPr>
          <w:color w:val="000000" w:themeColor="text1"/>
        </w:rPr>
        <w:t xml:space="preserve">The tender </w:t>
      </w:r>
      <w:r w:rsidR="00137272">
        <w:rPr>
          <w:color w:val="000000" w:themeColor="text1"/>
        </w:rPr>
        <w:t xml:space="preserve">will be </w:t>
      </w:r>
      <w:r w:rsidR="00490886">
        <w:rPr>
          <w:color w:val="000000" w:themeColor="text1"/>
        </w:rPr>
        <w:t xml:space="preserve">awarded to </w:t>
      </w:r>
      <w:r w:rsidR="004F092E">
        <w:rPr>
          <w:color w:val="000000" w:themeColor="text1"/>
        </w:rPr>
        <w:t>a certified installer</w:t>
      </w:r>
      <w:r w:rsidR="008D2B5E" w:rsidRPr="00782525">
        <w:rPr>
          <w:color w:val="000000" w:themeColor="text1"/>
        </w:rPr>
        <w:t>. The expected external resources for the project will</w:t>
      </w:r>
      <w:r w:rsidR="00137272">
        <w:rPr>
          <w:color w:val="000000" w:themeColor="text1"/>
        </w:rPr>
        <w:t xml:space="preserve"> be CDM Consultants, Principal C</w:t>
      </w:r>
      <w:r w:rsidR="008D2B5E" w:rsidRPr="00782525">
        <w:rPr>
          <w:color w:val="000000" w:themeColor="text1"/>
        </w:rPr>
        <w:t>ontractor and sub-contractors. The costs associated with the project will be determined by the winning tender. This will be based on bo</w:t>
      </w:r>
      <w:r w:rsidR="005045A0" w:rsidRPr="00782525">
        <w:rPr>
          <w:color w:val="000000" w:themeColor="text1"/>
        </w:rPr>
        <w:t>th monetary and quality and social value</w:t>
      </w:r>
      <w:r w:rsidR="00AC378F">
        <w:rPr>
          <w:color w:val="000000" w:themeColor="text1"/>
        </w:rPr>
        <w:t>.</w:t>
      </w:r>
      <w:r w:rsidR="005045A0" w:rsidRPr="00782525">
        <w:rPr>
          <w:color w:val="000000" w:themeColor="text1"/>
        </w:rPr>
        <w:t xml:space="preserve"> </w:t>
      </w:r>
    </w:p>
    <w:p w:rsidR="008D2B5E" w:rsidRPr="00137272" w:rsidRDefault="008D2B5E" w:rsidP="008D2B5E"/>
    <w:p w:rsidR="008D2B5E" w:rsidRPr="00137272" w:rsidRDefault="003D062B" w:rsidP="008D2B5E">
      <w:pPr>
        <w:pStyle w:val="Heading4"/>
        <w:rPr>
          <w:szCs w:val="24"/>
        </w:rPr>
      </w:pPr>
      <w:r>
        <w:rPr>
          <w:szCs w:val="24"/>
        </w:rPr>
        <w:t xml:space="preserve">7.0 </w:t>
      </w:r>
      <w:r w:rsidR="00A456F1">
        <w:rPr>
          <w:szCs w:val="24"/>
        </w:rPr>
        <w:tab/>
      </w:r>
      <w:r w:rsidR="008D2B5E" w:rsidRPr="00137272">
        <w:rPr>
          <w:szCs w:val="24"/>
        </w:rPr>
        <w:t xml:space="preserve">Staffing/workforce </w:t>
      </w:r>
    </w:p>
    <w:p w:rsidR="008D2B5E" w:rsidRPr="00C20053" w:rsidRDefault="003D062B" w:rsidP="00EE4A18">
      <w:pPr>
        <w:ind w:left="720" w:hanging="720"/>
      </w:pPr>
      <w:r>
        <w:t xml:space="preserve">7.1 </w:t>
      </w:r>
      <w:r w:rsidR="00A456F1">
        <w:tab/>
      </w:r>
      <w:r w:rsidR="00137272" w:rsidRPr="00C20053">
        <w:t xml:space="preserve">The in-house staff required </w:t>
      </w:r>
      <w:r w:rsidR="008D2B5E" w:rsidRPr="00C20053">
        <w:t xml:space="preserve">to manage the works will </w:t>
      </w:r>
      <w:r w:rsidR="00137272" w:rsidRPr="00C20053">
        <w:t>consist of the Project M</w:t>
      </w:r>
      <w:r w:rsidR="008D2B5E" w:rsidRPr="00C20053">
        <w:t xml:space="preserve">anager </w:t>
      </w:r>
      <w:r w:rsidR="00137272" w:rsidRPr="00C20053">
        <w:t>who w</w:t>
      </w:r>
      <w:r w:rsidR="008D2B5E" w:rsidRPr="00C20053">
        <w:t xml:space="preserve">ill be managing all the stages in the project cycle to ensure a quality product is </w:t>
      </w:r>
      <w:r w:rsidR="00137272" w:rsidRPr="00C20053">
        <w:t xml:space="preserve">being delivered and the Clerk of </w:t>
      </w:r>
      <w:r w:rsidR="00322158" w:rsidRPr="00C20053">
        <w:t>Works will</w:t>
      </w:r>
      <w:r w:rsidR="008D2B5E" w:rsidRPr="00C20053">
        <w:t xml:space="preserve"> be supervising the site works</w:t>
      </w:r>
      <w:r w:rsidR="00137272" w:rsidRPr="00C20053">
        <w:t xml:space="preserve"> and reporting any issues as appropriate</w:t>
      </w:r>
      <w:r w:rsidR="00141EBC" w:rsidRPr="00C20053">
        <w:t>.  We will be working alongside approved contractors and accredited installers to carry out the necessary works.</w:t>
      </w:r>
      <w:r w:rsidR="00216DC2" w:rsidRPr="00C20053">
        <w:t xml:space="preserve">  We will also be implementing our Fire Safety Audit tool which will provide a further control ensuring that the works are delivered to quality standards and the fire loading of the building is reduced.</w:t>
      </w:r>
    </w:p>
    <w:p w:rsidR="0054590F" w:rsidRPr="00C20053" w:rsidRDefault="0054590F" w:rsidP="0054590F"/>
    <w:p w:rsidR="00307F76" w:rsidRPr="00C20053" w:rsidRDefault="003D062B" w:rsidP="0054590F">
      <w:pPr>
        <w:rPr>
          <w:b/>
        </w:rPr>
      </w:pPr>
      <w:r>
        <w:rPr>
          <w:b/>
        </w:rPr>
        <w:t xml:space="preserve">8.0 </w:t>
      </w:r>
      <w:r w:rsidR="00A456F1">
        <w:rPr>
          <w:b/>
        </w:rPr>
        <w:tab/>
      </w:r>
      <w:r w:rsidR="00307F76" w:rsidRPr="00C20053">
        <w:rPr>
          <w:b/>
        </w:rPr>
        <w:t xml:space="preserve">Ward Councillors’ comments </w:t>
      </w:r>
    </w:p>
    <w:p w:rsidR="00955421" w:rsidRPr="00C20053" w:rsidRDefault="003D062B" w:rsidP="00EE4A18">
      <w:pPr>
        <w:ind w:left="720" w:hanging="720"/>
      </w:pPr>
      <w:r>
        <w:t xml:space="preserve">8.1 </w:t>
      </w:r>
      <w:r w:rsidR="00A456F1">
        <w:tab/>
      </w:r>
      <w:r w:rsidR="00141EBC" w:rsidRPr="00C20053">
        <w:t>This programme of works affects blocks all across</w:t>
      </w:r>
      <w:r w:rsidR="00322158" w:rsidRPr="00C20053">
        <w:t xml:space="preserve"> the B</w:t>
      </w:r>
      <w:r w:rsidR="00141EBC" w:rsidRPr="00C20053">
        <w:t>orough</w:t>
      </w:r>
      <w:r w:rsidR="00322158" w:rsidRPr="00C20053">
        <w:t xml:space="preserve"> and it is our statutory duty to carry out the necessary works to continue to ensure the continued safety of our residents.</w:t>
      </w:r>
      <w:r w:rsidR="00216DC2" w:rsidRPr="00C20053">
        <w:t xml:space="preserve">  All Councillors will be informed of the works and invited to the scheduled consultation events.</w:t>
      </w:r>
    </w:p>
    <w:p w:rsidR="003E23C9" w:rsidRDefault="003E23C9" w:rsidP="0054590F">
      <w:pPr>
        <w:pStyle w:val="Heading4"/>
        <w:tabs>
          <w:tab w:val="left" w:pos="3600"/>
        </w:tabs>
        <w:rPr>
          <w:color w:val="0000FF"/>
          <w:szCs w:val="24"/>
        </w:rPr>
      </w:pPr>
    </w:p>
    <w:p w:rsidR="00333FAA" w:rsidRDefault="001C7E35" w:rsidP="0054590F">
      <w:pPr>
        <w:pStyle w:val="Heading4"/>
        <w:tabs>
          <w:tab w:val="left" w:pos="3600"/>
        </w:tabs>
        <w:rPr>
          <w:color w:val="0000FF"/>
          <w:szCs w:val="24"/>
        </w:rPr>
      </w:pPr>
      <w:r>
        <w:rPr>
          <w:color w:val="0000FF"/>
          <w:szCs w:val="24"/>
        </w:rPr>
        <w:tab/>
      </w:r>
    </w:p>
    <w:p w:rsidR="00782525" w:rsidRPr="00B60DF5" w:rsidRDefault="003D062B" w:rsidP="00EE4A18">
      <w:pPr>
        <w:rPr>
          <w:szCs w:val="24"/>
        </w:rPr>
      </w:pPr>
      <w:r w:rsidRPr="00EE4A18">
        <w:rPr>
          <w:b/>
        </w:rPr>
        <w:t>9</w:t>
      </w:r>
      <w:r w:rsidR="00782525" w:rsidRPr="00EE4A18">
        <w:rPr>
          <w:b/>
        </w:rPr>
        <w:t xml:space="preserve">.0 </w:t>
      </w:r>
      <w:r w:rsidR="00A456F1">
        <w:rPr>
          <w:b/>
        </w:rPr>
        <w:tab/>
      </w:r>
      <w:r w:rsidR="00782525" w:rsidRPr="00EE4A18">
        <w:rPr>
          <w:b/>
        </w:rPr>
        <w:t>Performance Issues</w:t>
      </w:r>
      <w:r w:rsidR="00782525" w:rsidRPr="00B60DF5">
        <w:rPr>
          <w:szCs w:val="24"/>
        </w:rPr>
        <w:tab/>
      </w:r>
    </w:p>
    <w:p w:rsidR="00782525" w:rsidRPr="00B60DF5" w:rsidRDefault="00782525" w:rsidP="00782525">
      <w:pPr>
        <w:tabs>
          <w:tab w:val="left" w:pos="7245"/>
        </w:tabs>
        <w:rPr>
          <w:i/>
        </w:rPr>
      </w:pPr>
    </w:p>
    <w:p w:rsidR="00782525" w:rsidRPr="00C20053" w:rsidRDefault="003D062B" w:rsidP="00EE4A18">
      <w:pPr>
        <w:tabs>
          <w:tab w:val="left" w:pos="7245"/>
        </w:tabs>
        <w:ind w:left="720" w:hanging="720"/>
        <w:rPr>
          <w:rFonts w:cs="Arial"/>
        </w:rPr>
      </w:pPr>
      <w:r>
        <w:t>9</w:t>
      </w:r>
      <w:r w:rsidR="00782525" w:rsidRPr="00C20053">
        <w:t xml:space="preserve">.1 </w:t>
      </w:r>
      <w:r w:rsidR="00A456F1">
        <w:tab/>
      </w:r>
      <w:r w:rsidR="00782525" w:rsidRPr="00C20053">
        <w:t>The new contractor will be managed effectively from mobilisation</w:t>
      </w:r>
      <w:r w:rsidR="00216DC2" w:rsidRPr="00C20053">
        <w:t xml:space="preserve"> to completion.</w:t>
      </w:r>
      <w:r w:rsidR="00C20053">
        <w:t xml:space="preserve"> </w:t>
      </w:r>
      <w:r w:rsidR="00DE13FC" w:rsidRPr="00C20053">
        <w:t>P</w:t>
      </w:r>
      <w:r w:rsidR="00782525" w:rsidRPr="00C20053">
        <w:t>erformance statistics will be reviewed on a monthly basis and monitored through a combination of regular site visits and formal meetings</w:t>
      </w:r>
      <w:r w:rsidR="00137272" w:rsidRPr="00C20053">
        <w:t xml:space="preserve">.  </w:t>
      </w:r>
      <w:r w:rsidR="00782525" w:rsidRPr="00C20053">
        <w:t>This will ensure that any concerns raised can be rectified promptly.</w:t>
      </w:r>
      <w:r w:rsidR="00782525" w:rsidRPr="00C20053">
        <w:rPr>
          <w:rFonts w:cs="Arial"/>
        </w:rPr>
        <w:t xml:space="preserve"> </w:t>
      </w:r>
      <w:r w:rsidR="00DE13FC" w:rsidRPr="00C20053">
        <w:rPr>
          <w:rFonts w:cs="Arial"/>
        </w:rPr>
        <w:t>We will ensure that the project is managed within the Build a Better Harrow framework.</w:t>
      </w:r>
    </w:p>
    <w:p w:rsidR="00782525" w:rsidRDefault="00782525" w:rsidP="00782525">
      <w:pPr>
        <w:tabs>
          <w:tab w:val="left" w:pos="7245"/>
        </w:tabs>
        <w:rPr>
          <w:rFonts w:cs="Arial"/>
        </w:rPr>
      </w:pPr>
    </w:p>
    <w:p w:rsidR="00782525" w:rsidRPr="00A456F1" w:rsidRDefault="00782525" w:rsidP="00EE4A18">
      <w:pPr>
        <w:tabs>
          <w:tab w:val="left" w:pos="7245"/>
        </w:tabs>
        <w:ind w:left="720"/>
      </w:pPr>
      <w:r w:rsidRPr="00A456F1">
        <w:t>In addition to the above, any future reactive maintenance after the initial defects liability period will be incorporated in an on-going maintenance programme</w:t>
      </w:r>
      <w:r w:rsidR="00137272" w:rsidRPr="00A456F1">
        <w:t>.</w:t>
      </w:r>
      <w:r w:rsidRPr="00A456F1">
        <w:t xml:space="preserve"> </w:t>
      </w:r>
      <w:r w:rsidR="00137272" w:rsidRPr="00A456F1">
        <w:t xml:space="preserve"> </w:t>
      </w:r>
    </w:p>
    <w:p w:rsidR="00782525" w:rsidRDefault="00782525" w:rsidP="00782525">
      <w:pPr>
        <w:tabs>
          <w:tab w:val="left" w:pos="7245"/>
        </w:tabs>
      </w:pPr>
    </w:p>
    <w:p w:rsidR="00782525" w:rsidRPr="00C20053" w:rsidRDefault="003D062B" w:rsidP="00EE4A18">
      <w:pPr>
        <w:tabs>
          <w:tab w:val="left" w:pos="7245"/>
        </w:tabs>
        <w:ind w:left="567" w:hanging="567"/>
      </w:pPr>
      <w:r>
        <w:t>9</w:t>
      </w:r>
      <w:r w:rsidR="00782525">
        <w:t xml:space="preserve">.2 </w:t>
      </w:r>
      <w:r w:rsidR="00EE4A18">
        <w:t xml:space="preserve">  </w:t>
      </w:r>
      <w:r w:rsidR="00782525">
        <w:t xml:space="preserve">In addition we intend to form monthly project groups, inviting residents and members to support the management and monitoring of the schemes </w:t>
      </w:r>
      <w:r w:rsidR="00782525" w:rsidRPr="00C20053">
        <w:t xml:space="preserve">throughout their implementation. </w:t>
      </w:r>
      <w:r w:rsidR="00141EBC" w:rsidRPr="00C20053">
        <w:t>We will also adhere to</w:t>
      </w:r>
      <w:r w:rsidR="00322158" w:rsidRPr="00C20053">
        <w:t xml:space="preserve"> our</w:t>
      </w:r>
      <w:r w:rsidR="00141EBC" w:rsidRPr="00C20053">
        <w:t xml:space="preserve"> internal </w:t>
      </w:r>
      <w:r w:rsidR="00764FE8">
        <w:t>h</w:t>
      </w:r>
      <w:r w:rsidR="00141EBC" w:rsidRPr="00C20053">
        <w:t>ealth and</w:t>
      </w:r>
      <w:r w:rsidR="00322158" w:rsidRPr="00C20053">
        <w:t xml:space="preserve"> </w:t>
      </w:r>
      <w:r w:rsidR="00764FE8">
        <w:t>s</w:t>
      </w:r>
      <w:r w:rsidR="00322158" w:rsidRPr="00C20053">
        <w:t xml:space="preserve">afety guidelines and requirements by </w:t>
      </w:r>
      <w:r w:rsidR="00DE13FC" w:rsidRPr="00C20053">
        <w:t>implementing our internal</w:t>
      </w:r>
      <w:r w:rsidR="00322158" w:rsidRPr="00C20053">
        <w:t xml:space="preserve"> </w:t>
      </w:r>
      <w:r w:rsidR="00141EBC" w:rsidRPr="00C20053">
        <w:t>Fire Audit tool for</w:t>
      </w:r>
      <w:r w:rsidR="00322158" w:rsidRPr="00C20053">
        <w:t xml:space="preserve"> </w:t>
      </w:r>
      <w:r w:rsidR="00141EBC" w:rsidRPr="00C20053">
        <w:t xml:space="preserve">each block where works will be going ahead </w:t>
      </w:r>
      <w:r w:rsidR="00DE13FC" w:rsidRPr="00C20053">
        <w:t>.T</w:t>
      </w:r>
      <w:r w:rsidR="00141EBC" w:rsidRPr="00C20053">
        <w:t>his can be monitored by the appropriate officers and any issues arising are bought to a swift resolution.</w:t>
      </w:r>
    </w:p>
    <w:p w:rsidR="0054590F" w:rsidRDefault="0054590F" w:rsidP="001C7E35">
      <w:pPr>
        <w:tabs>
          <w:tab w:val="left" w:pos="7245"/>
        </w:tabs>
      </w:pPr>
    </w:p>
    <w:p w:rsidR="00782525" w:rsidRDefault="003D062B" w:rsidP="00782525">
      <w:pPr>
        <w:pStyle w:val="Heading4"/>
        <w:rPr>
          <w:szCs w:val="24"/>
        </w:rPr>
      </w:pPr>
      <w:r>
        <w:rPr>
          <w:szCs w:val="24"/>
        </w:rPr>
        <w:t>10</w:t>
      </w:r>
      <w:r w:rsidR="00782525">
        <w:rPr>
          <w:szCs w:val="24"/>
        </w:rPr>
        <w:t xml:space="preserve">.0 </w:t>
      </w:r>
      <w:r w:rsidR="00EE4A18">
        <w:rPr>
          <w:szCs w:val="24"/>
        </w:rPr>
        <w:tab/>
      </w:r>
      <w:r w:rsidR="00782525" w:rsidRPr="001C3E77">
        <w:rPr>
          <w:szCs w:val="24"/>
        </w:rPr>
        <w:t>Environmental Implications</w:t>
      </w:r>
    </w:p>
    <w:p w:rsidR="00782525" w:rsidRPr="002413B5" w:rsidRDefault="00782525" w:rsidP="00782525"/>
    <w:p w:rsidR="00782525" w:rsidRPr="00DD457D" w:rsidRDefault="003D062B" w:rsidP="00EE4A18">
      <w:pPr>
        <w:ind w:left="720" w:hanging="720"/>
      </w:pPr>
      <w:r>
        <w:t>10</w:t>
      </w:r>
      <w:r w:rsidR="00782525">
        <w:t xml:space="preserve">.1 </w:t>
      </w:r>
      <w:r w:rsidR="00EE4A18">
        <w:tab/>
      </w:r>
      <w:r w:rsidR="00782525" w:rsidRPr="00DD457D">
        <w:t xml:space="preserve">It is the intention that the delivery of any contract will contribute to the Council’s objectives around social, economic and environmental sustainability. We </w:t>
      </w:r>
      <w:r w:rsidR="00DE13FC">
        <w:t xml:space="preserve">will </w:t>
      </w:r>
      <w:r w:rsidR="00782525" w:rsidRPr="00DD457D">
        <w:t xml:space="preserve">do all we can to ensure that we support Harrow’s economy by buying locally wherever practical and maximise opportunities for local people in employment and training. The project will ensure that tenders provide detailed information about </w:t>
      </w:r>
      <w:r w:rsidR="00137272">
        <w:t xml:space="preserve">how they intend to </w:t>
      </w:r>
      <w:r w:rsidR="00782525" w:rsidRPr="00DD457D">
        <w:t>contribut</w:t>
      </w:r>
      <w:r w:rsidR="00DE13FC">
        <w:t>e</w:t>
      </w:r>
      <w:r w:rsidR="00782525" w:rsidRPr="00DD457D">
        <w:t xml:space="preserve"> to the environment and</w:t>
      </w:r>
      <w:r w:rsidR="00DE13FC">
        <w:t xml:space="preserve"> are</w:t>
      </w:r>
      <w:r w:rsidR="00782525" w:rsidRPr="00DD457D">
        <w:t xml:space="preserve"> sustainab</w:t>
      </w:r>
      <w:r w:rsidR="00DE13FC">
        <w:t>le</w:t>
      </w:r>
      <w:r w:rsidR="00782525" w:rsidRPr="00DD457D">
        <w:t>.  We also require bidders to sign up to the Considerate Contractor Scheme</w:t>
      </w:r>
      <w:r w:rsidR="00137272">
        <w:t>.</w:t>
      </w:r>
    </w:p>
    <w:p w:rsidR="00782525" w:rsidRPr="00C81367" w:rsidRDefault="00782525" w:rsidP="00782525">
      <w:pPr>
        <w:rPr>
          <w:highlight w:val="cyan"/>
        </w:rPr>
      </w:pPr>
    </w:p>
    <w:p w:rsidR="00782525" w:rsidRDefault="003D062B" w:rsidP="00EE4A18">
      <w:pPr>
        <w:ind w:left="720" w:hanging="720"/>
      </w:pPr>
      <w:r>
        <w:t>10</w:t>
      </w:r>
      <w:r w:rsidR="00782525" w:rsidRPr="00DD457D">
        <w:t xml:space="preserve">.2   </w:t>
      </w:r>
      <w:r w:rsidR="00EE4A18">
        <w:tab/>
      </w:r>
      <w:r w:rsidR="00782525" w:rsidRPr="00DD457D">
        <w:t>Specific requirements on social, economic and environmental matters will vary according to the value and duration of each contract and are detailed in the appendices.</w:t>
      </w:r>
    </w:p>
    <w:p w:rsidR="000929A6" w:rsidRPr="00B54AFA" w:rsidRDefault="000929A6" w:rsidP="001C7E35">
      <w:pPr>
        <w:rPr>
          <w:i/>
          <w:color w:val="0000FF"/>
        </w:rPr>
      </w:pPr>
    </w:p>
    <w:p w:rsidR="00B1160D" w:rsidRDefault="00B1160D" w:rsidP="001C7E35"/>
    <w:p w:rsidR="002A3FEF" w:rsidRPr="00137272" w:rsidRDefault="003D062B" w:rsidP="002A3FEF">
      <w:pPr>
        <w:pStyle w:val="Heading4"/>
        <w:rPr>
          <w:szCs w:val="24"/>
        </w:rPr>
      </w:pPr>
      <w:r>
        <w:rPr>
          <w:szCs w:val="24"/>
        </w:rPr>
        <w:t xml:space="preserve">11.0 </w:t>
      </w:r>
      <w:r w:rsidR="00EE4A18">
        <w:rPr>
          <w:szCs w:val="24"/>
        </w:rPr>
        <w:tab/>
      </w:r>
      <w:r w:rsidR="002A3FEF" w:rsidRPr="00137272">
        <w:rPr>
          <w:szCs w:val="24"/>
        </w:rPr>
        <w:t>Dat</w:t>
      </w:r>
      <w:r w:rsidR="00DE72CF" w:rsidRPr="00137272">
        <w:rPr>
          <w:szCs w:val="24"/>
        </w:rPr>
        <w:t>a</w:t>
      </w:r>
      <w:r w:rsidR="002A3FEF" w:rsidRPr="00137272">
        <w:rPr>
          <w:szCs w:val="24"/>
        </w:rPr>
        <w:t xml:space="preserve"> Protection Implications</w:t>
      </w:r>
    </w:p>
    <w:p w:rsidR="00782525" w:rsidRPr="00782525" w:rsidRDefault="00782525" w:rsidP="00EE4A18">
      <w:pPr>
        <w:ind w:left="720"/>
      </w:pPr>
      <w:r w:rsidRPr="00782525">
        <w:t>All personal data required to progress the project will fulfil the criteria as set in the GDPR</w:t>
      </w:r>
      <w:r>
        <w:t xml:space="preserve"> to prevent any legal challenges</w:t>
      </w:r>
      <w:r w:rsidRPr="00782525">
        <w:t>.</w:t>
      </w:r>
    </w:p>
    <w:p w:rsidR="002A3FEF" w:rsidRPr="002A3FEF" w:rsidRDefault="002A3FEF" w:rsidP="00BB2289">
      <w:pPr>
        <w:tabs>
          <w:tab w:val="left" w:pos="3518"/>
        </w:tabs>
        <w:rPr>
          <w:i/>
          <w:color w:val="FF0000"/>
        </w:rPr>
      </w:pPr>
      <w:r>
        <w:rPr>
          <w:i/>
          <w:color w:val="0000FF"/>
        </w:rPr>
        <w:t xml:space="preserve"> </w:t>
      </w:r>
      <w:r w:rsidR="00BB2289">
        <w:rPr>
          <w:i/>
          <w:color w:val="0000FF"/>
        </w:rPr>
        <w:tab/>
      </w:r>
    </w:p>
    <w:p w:rsidR="00A81E19" w:rsidRDefault="00A81E19" w:rsidP="00A81E19">
      <w:pPr>
        <w:pStyle w:val="Heading4"/>
        <w:rPr>
          <w:b w:val="0"/>
        </w:rPr>
      </w:pPr>
    </w:p>
    <w:p w:rsidR="00A46E56" w:rsidRDefault="003D062B" w:rsidP="00A46E56">
      <w:pPr>
        <w:pStyle w:val="Heading2"/>
      </w:pPr>
      <w:r>
        <w:t>12</w:t>
      </w:r>
      <w:r w:rsidR="000D1012">
        <w:t>.0</w:t>
      </w:r>
      <w:r w:rsidR="00EE4A18">
        <w:tab/>
      </w:r>
      <w:r w:rsidR="00A46E56">
        <w:t>Risk Management Implications</w:t>
      </w:r>
    </w:p>
    <w:p w:rsidR="00A46E56" w:rsidRDefault="00A46E56" w:rsidP="00A46E56">
      <w:pPr>
        <w:tabs>
          <w:tab w:val="left" w:pos="5610"/>
        </w:tabs>
        <w:ind w:right="81"/>
        <w:rPr>
          <w:rFonts w:cs="Arial"/>
          <w:szCs w:val="24"/>
          <w:lang w:val="en-US"/>
        </w:rPr>
      </w:pPr>
    </w:p>
    <w:p w:rsidR="00A46E56" w:rsidRPr="004046D8" w:rsidRDefault="00A46E56" w:rsidP="00A46E56">
      <w:pPr>
        <w:tabs>
          <w:tab w:val="left" w:pos="5610"/>
        </w:tabs>
        <w:ind w:right="81"/>
        <w:rPr>
          <w:rFonts w:cs="Arial"/>
          <w:szCs w:val="24"/>
          <w:lang w:val="en-US"/>
        </w:rPr>
      </w:pPr>
      <w:r w:rsidRPr="004046D8">
        <w:rPr>
          <w:rFonts w:cs="Arial"/>
          <w:szCs w:val="24"/>
          <w:lang w:val="en-US"/>
        </w:rPr>
        <w:t xml:space="preserve">Risk included on Directorate risk register?  </w:t>
      </w:r>
      <w:r w:rsidRPr="004046D8">
        <w:rPr>
          <w:rFonts w:cs="Arial"/>
          <w:b/>
          <w:szCs w:val="24"/>
          <w:lang w:val="en-US"/>
        </w:rPr>
        <w:t>Yes</w:t>
      </w:r>
    </w:p>
    <w:p w:rsidR="00A46E56" w:rsidRPr="004046D8" w:rsidRDefault="00A46E56" w:rsidP="00A46E56">
      <w:pPr>
        <w:ind w:right="141"/>
        <w:rPr>
          <w:rFonts w:cs="Arial"/>
          <w:szCs w:val="24"/>
          <w:lang w:val="en-US" w:eastAsia="en-GB"/>
        </w:rPr>
      </w:pPr>
    </w:p>
    <w:p w:rsidR="00A46E56" w:rsidRPr="004046D8" w:rsidRDefault="00A46E56" w:rsidP="00A46E56">
      <w:pPr>
        <w:ind w:right="141"/>
        <w:rPr>
          <w:rFonts w:cs="Arial"/>
          <w:b/>
          <w:szCs w:val="24"/>
          <w:lang w:val="en-US" w:eastAsia="en-GB"/>
        </w:rPr>
      </w:pPr>
      <w:proofErr w:type="gramStart"/>
      <w:r w:rsidRPr="004046D8">
        <w:rPr>
          <w:rFonts w:cs="Arial"/>
          <w:szCs w:val="24"/>
          <w:lang w:val="en-US" w:eastAsia="en-GB"/>
        </w:rPr>
        <w:t>Separate risk register in place?</w:t>
      </w:r>
      <w:proofErr w:type="gramEnd"/>
      <w:r w:rsidRPr="004046D8">
        <w:rPr>
          <w:rFonts w:cs="Arial"/>
          <w:szCs w:val="24"/>
          <w:lang w:val="en-US" w:eastAsia="en-GB"/>
        </w:rPr>
        <w:t xml:space="preserve">  </w:t>
      </w:r>
      <w:r w:rsidRPr="004046D8">
        <w:rPr>
          <w:rFonts w:cs="Arial"/>
          <w:b/>
          <w:szCs w:val="24"/>
          <w:lang w:val="en-US" w:eastAsia="en-GB"/>
        </w:rPr>
        <w:t>Yes</w:t>
      </w:r>
    </w:p>
    <w:p w:rsidR="00A46E56" w:rsidRPr="004046D8" w:rsidRDefault="00A46E56" w:rsidP="00A46E56">
      <w:pPr>
        <w:autoSpaceDE w:val="0"/>
        <w:autoSpaceDN w:val="0"/>
        <w:adjustRightInd w:val="0"/>
        <w:rPr>
          <w:rFonts w:cs="Arial"/>
          <w:b/>
          <w:szCs w:val="24"/>
          <w:lang w:val="en-US" w:eastAsia="en-GB"/>
        </w:rPr>
      </w:pPr>
    </w:p>
    <w:p w:rsidR="00A5072F" w:rsidRPr="008A07DD" w:rsidRDefault="009C3FE2" w:rsidP="00EE4A18">
      <w:pPr>
        <w:ind w:left="720" w:hanging="720"/>
        <w:rPr>
          <w:rFonts w:cs="Arial"/>
        </w:rPr>
      </w:pPr>
      <w:r>
        <w:rPr>
          <w:rFonts w:cs="Arial"/>
          <w:szCs w:val="24"/>
          <w:lang w:val="en-US" w:eastAsia="en-GB"/>
        </w:rPr>
        <w:t xml:space="preserve">12.1 </w:t>
      </w:r>
      <w:r w:rsidR="00EE4A18">
        <w:rPr>
          <w:rFonts w:cs="Arial"/>
          <w:szCs w:val="24"/>
          <w:lang w:val="en-US" w:eastAsia="en-GB"/>
        </w:rPr>
        <w:tab/>
      </w:r>
      <w:r w:rsidR="00A46E56" w:rsidRPr="004046D8">
        <w:rPr>
          <w:rFonts w:cs="Arial"/>
          <w:szCs w:val="24"/>
          <w:lang w:val="en-US" w:eastAsia="en-GB"/>
        </w:rPr>
        <w:t xml:space="preserve">The table below identifies the </w:t>
      </w:r>
      <w:r w:rsidR="00A5072F">
        <w:rPr>
          <w:rFonts w:cs="Arial"/>
          <w:szCs w:val="24"/>
          <w:lang w:val="en-US" w:eastAsia="en-GB"/>
        </w:rPr>
        <w:t>high level</w:t>
      </w:r>
      <w:r w:rsidR="00A5072F" w:rsidRPr="004046D8">
        <w:rPr>
          <w:rFonts w:cs="Arial"/>
          <w:szCs w:val="24"/>
          <w:lang w:val="en-US" w:eastAsia="en-GB"/>
        </w:rPr>
        <w:t xml:space="preserve"> </w:t>
      </w:r>
      <w:r w:rsidR="00A46E56" w:rsidRPr="004046D8">
        <w:rPr>
          <w:rFonts w:cs="Arial"/>
          <w:szCs w:val="24"/>
          <w:lang w:val="en-US" w:eastAsia="en-GB"/>
        </w:rPr>
        <w:t xml:space="preserve">risks associated with this contract, and the controls in place to mitigate </w:t>
      </w:r>
      <w:r w:rsidR="00A5072F">
        <w:rPr>
          <w:rFonts w:cs="Arial"/>
          <w:szCs w:val="24"/>
          <w:lang w:val="en-US" w:eastAsia="en-GB"/>
        </w:rPr>
        <w:t xml:space="preserve">them. </w:t>
      </w:r>
      <w:r w:rsidR="00A5072F">
        <w:t xml:space="preserve">Additionally, a </w:t>
      </w:r>
      <w:r w:rsidR="00A5072F" w:rsidRPr="00C213D2">
        <w:rPr>
          <w:rFonts w:cs="Arial"/>
        </w:rPr>
        <w:t xml:space="preserve">risk register </w:t>
      </w:r>
      <w:r w:rsidR="00A5072F">
        <w:rPr>
          <w:rFonts w:cs="Arial"/>
        </w:rPr>
        <w:t xml:space="preserve">specific </w:t>
      </w:r>
      <w:r w:rsidR="00A5072F" w:rsidRPr="00C213D2">
        <w:rPr>
          <w:rFonts w:cs="Arial"/>
        </w:rPr>
        <w:t xml:space="preserve">for this procurement </w:t>
      </w:r>
      <w:r w:rsidR="00A5072F">
        <w:rPr>
          <w:rFonts w:cs="Arial"/>
        </w:rPr>
        <w:t xml:space="preserve">will </w:t>
      </w:r>
      <w:r w:rsidR="00A5072F" w:rsidRPr="00C213D2">
        <w:rPr>
          <w:rFonts w:cs="Arial"/>
        </w:rPr>
        <w:t xml:space="preserve">be started from the outset of the process and </w:t>
      </w:r>
      <w:r w:rsidR="00A5072F">
        <w:rPr>
          <w:rFonts w:cs="Arial"/>
        </w:rPr>
        <w:t xml:space="preserve">will be </w:t>
      </w:r>
      <w:r w:rsidR="00A5072F" w:rsidRPr="00C213D2">
        <w:rPr>
          <w:rFonts w:cs="Arial"/>
        </w:rPr>
        <w:t>maintained and reviewed</w:t>
      </w:r>
      <w:r w:rsidR="00A5072F">
        <w:rPr>
          <w:rFonts w:cs="Arial"/>
        </w:rPr>
        <w:t xml:space="preserve"> by all relevant staff regularly.</w:t>
      </w:r>
    </w:p>
    <w:p w:rsidR="00A46E56" w:rsidRPr="004046D8" w:rsidRDefault="00A46E56" w:rsidP="00A46E56">
      <w:pPr>
        <w:rPr>
          <w:rFonts w:cs="Arial"/>
          <w:szCs w:val="24"/>
          <w:lang w:val="en-US" w:eastAsia="en-GB"/>
        </w:rPr>
      </w:pPr>
    </w:p>
    <w:tbl>
      <w:tblPr>
        <w:tblStyle w:val="TableGrid"/>
        <w:tblW w:w="0" w:type="auto"/>
        <w:tblLook w:val="04A0" w:firstRow="1" w:lastRow="0" w:firstColumn="1" w:lastColumn="0" w:noHBand="0" w:noVBand="1"/>
      </w:tblPr>
      <w:tblGrid>
        <w:gridCol w:w="2718"/>
        <w:gridCol w:w="5328"/>
      </w:tblGrid>
      <w:tr w:rsidR="00A5072F" w:rsidRPr="004046D8" w:rsidTr="00A5072F">
        <w:tc>
          <w:tcPr>
            <w:tcW w:w="2718" w:type="dxa"/>
          </w:tcPr>
          <w:p w:rsidR="00A5072F" w:rsidRPr="004046D8" w:rsidRDefault="00A5072F" w:rsidP="007E189B">
            <w:pPr>
              <w:jc w:val="center"/>
              <w:rPr>
                <w:b/>
              </w:rPr>
            </w:pPr>
            <w:r w:rsidRPr="004046D8">
              <w:rPr>
                <w:b/>
              </w:rPr>
              <w:t>Risk</w:t>
            </w:r>
          </w:p>
        </w:tc>
        <w:tc>
          <w:tcPr>
            <w:tcW w:w="5328" w:type="dxa"/>
          </w:tcPr>
          <w:p w:rsidR="00A5072F" w:rsidRPr="004046D8" w:rsidRDefault="00A5072F" w:rsidP="007E189B">
            <w:pPr>
              <w:jc w:val="center"/>
              <w:rPr>
                <w:b/>
              </w:rPr>
            </w:pPr>
            <w:r w:rsidRPr="004046D8">
              <w:rPr>
                <w:b/>
              </w:rPr>
              <w:t>Risk Control</w:t>
            </w:r>
          </w:p>
        </w:tc>
      </w:tr>
      <w:tr w:rsidR="00A5072F" w:rsidRPr="004046D8" w:rsidTr="00A5072F">
        <w:tc>
          <w:tcPr>
            <w:tcW w:w="2718" w:type="dxa"/>
          </w:tcPr>
          <w:p w:rsidR="00A5072F" w:rsidRPr="00322158" w:rsidRDefault="00A5072F" w:rsidP="00604DDC">
            <w:pPr>
              <w:autoSpaceDE w:val="0"/>
              <w:autoSpaceDN w:val="0"/>
              <w:rPr>
                <w:rFonts w:eastAsiaTheme="minorHAnsi" w:cs="Arial"/>
                <w:sz w:val="20"/>
                <w:szCs w:val="22"/>
              </w:rPr>
            </w:pPr>
          </w:p>
          <w:p w:rsidR="00A5072F" w:rsidRPr="00322158" w:rsidRDefault="00A5072F">
            <w:pPr>
              <w:rPr>
                <w:sz w:val="20"/>
              </w:rPr>
            </w:pPr>
            <w:r w:rsidRPr="00322158">
              <w:rPr>
                <w:sz w:val="20"/>
              </w:rPr>
              <w:t>Failure to deliver fire doors not compatible with fire door certification / impact of poor operating practices that is detrimental to the reputation of LBH</w:t>
            </w:r>
            <w:r>
              <w:rPr>
                <w:sz w:val="20"/>
              </w:rPr>
              <w:t>.</w:t>
            </w:r>
          </w:p>
        </w:tc>
        <w:tc>
          <w:tcPr>
            <w:tcW w:w="5328" w:type="dxa"/>
          </w:tcPr>
          <w:p w:rsidR="00A5072F" w:rsidRPr="00322158" w:rsidRDefault="00A5072F" w:rsidP="00604DDC">
            <w:pPr>
              <w:rPr>
                <w:rFonts w:eastAsiaTheme="minorHAnsi" w:cs="Arial"/>
                <w:color w:val="000000"/>
                <w:sz w:val="20"/>
                <w:lang w:eastAsia="en-GB"/>
              </w:rPr>
            </w:pPr>
            <w:r w:rsidRPr="00322158">
              <w:rPr>
                <w:rFonts w:eastAsiaTheme="minorHAnsi" w:cs="Arial"/>
                <w:color w:val="000000"/>
                <w:sz w:val="20"/>
                <w:lang w:eastAsia="en-GB"/>
              </w:rPr>
              <w:t xml:space="preserve">The documentation relating to the specs of the doors have been pre- validated by LBH in-house Fire safety Officer and the product type is part of the contract. All doors will be installed by fully qualified operatives who will strictly adhere to method statements as relating to accessing the property, resolving no access issues, start of works, removal process of the door, installation of the new door and clearance of the old door from site. </w:t>
            </w:r>
          </w:p>
          <w:p w:rsidR="00A5072F" w:rsidRDefault="00A5072F" w:rsidP="00604DDC">
            <w:pPr>
              <w:rPr>
                <w:rFonts w:eastAsiaTheme="minorHAnsi" w:cs="Arial"/>
                <w:color w:val="000000"/>
                <w:sz w:val="20"/>
                <w:lang w:eastAsia="en-GB"/>
              </w:rPr>
            </w:pPr>
            <w:r w:rsidRPr="00322158">
              <w:rPr>
                <w:rFonts w:eastAsiaTheme="minorHAnsi" w:cs="Arial"/>
                <w:color w:val="000000"/>
                <w:sz w:val="20"/>
                <w:lang w:eastAsia="en-GB"/>
              </w:rPr>
              <w:t>All doors will carry the necessary warranty from the contractor. As part of the contract, the contractor will carry the necessary insurance to indemnify against H&amp;S mishap relating to the works.</w:t>
            </w:r>
          </w:p>
          <w:p w:rsidR="00A5072F" w:rsidRPr="00322158" w:rsidRDefault="00A5072F">
            <w:pPr>
              <w:rPr>
                <w:rFonts w:eastAsiaTheme="minorHAnsi" w:cs="Arial"/>
                <w:color w:val="000000"/>
                <w:sz w:val="20"/>
                <w:lang w:eastAsia="en-GB"/>
              </w:rPr>
            </w:pPr>
          </w:p>
        </w:tc>
      </w:tr>
      <w:tr w:rsidR="00A5072F" w:rsidRPr="004046D8" w:rsidTr="00A5072F">
        <w:tc>
          <w:tcPr>
            <w:tcW w:w="2718" w:type="dxa"/>
          </w:tcPr>
          <w:p w:rsidR="00A5072F" w:rsidRPr="00322158" w:rsidRDefault="00A5072F">
            <w:pPr>
              <w:rPr>
                <w:sz w:val="20"/>
              </w:rPr>
            </w:pPr>
            <w:r>
              <w:rPr>
                <w:rFonts w:ascii="Helvetica" w:hAnsi="Helvetica" w:cs="Helvetica"/>
                <w:sz w:val="20"/>
                <w:lang w:eastAsia="en-GB"/>
              </w:rPr>
              <w:t>Lessons learnt from Grenfell and implementation throughout Harrow.</w:t>
            </w:r>
          </w:p>
        </w:tc>
        <w:tc>
          <w:tcPr>
            <w:tcW w:w="5328" w:type="dxa"/>
          </w:tcPr>
          <w:p w:rsidR="00A5072F" w:rsidRDefault="00A5072F" w:rsidP="00604DDC">
            <w:pPr>
              <w:rPr>
                <w:rFonts w:eastAsiaTheme="minorHAnsi" w:cs="Arial"/>
                <w:color w:val="000000"/>
                <w:sz w:val="20"/>
                <w:lang w:eastAsia="en-GB"/>
              </w:rPr>
            </w:pPr>
            <w:r w:rsidRPr="004F092E">
              <w:rPr>
                <w:rFonts w:eastAsiaTheme="minorHAnsi" w:cs="Arial"/>
                <w:color w:val="000000"/>
                <w:sz w:val="20"/>
                <w:lang w:eastAsia="en-GB"/>
              </w:rPr>
              <w:t>Following the Grenfell Tower disaster and publishing of The Hackett Report on Fire Safety the impact on LBH is as follows.</w:t>
            </w:r>
          </w:p>
          <w:p w:rsidR="00A5072F" w:rsidRPr="004F092E" w:rsidRDefault="00A5072F" w:rsidP="00604DDC">
            <w:pPr>
              <w:rPr>
                <w:rFonts w:eastAsiaTheme="minorHAnsi" w:cs="Arial"/>
                <w:color w:val="000000"/>
                <w:sz w:val="20"/>
                <w:lang w:eastAsia="en-GB"/>
              </w:rPr>
            </w:pPr>
          </w:p>
          <w:p w:rsidR="00A5072F" w:rsidRPr="004F092E" w:rsidRDefault="00A5072F" w:rsidP="00604DDC">
            <w:pPr>
              <w:rPr>
                <w:rFonts w:eastAsiaTheme="minorHAnsi" w:cs="Arial"/>
                <w:color w:val="000000"/>
                <w:sz w:val="20"/>
                <w:lang w:eastAsia="en-GB"/>
              </w:rPr>
            </w:pPr>
            <w:r w:rsidRPr="004F092E">
              <w:rPr>
                <w:rFonts w:eastAsiaTheme="minorHAnsi" w:cs="Arial"/>
                <w:color w:val="000000"/>
                <w:sz w:val="20"/>
                <w:lang w:eastAsia="en-GB"/>
              </w:rPr>
              <w:t xml:space="preserve">The H &amp; S department has formulated a rigorous risk based FRA inspection programme of all social housing properties, including sheltered accommodation and community centres. The findings are collated, prioritised </w:t>
            </w:r>
            <w:r w:rsidRPr="004F092E">
              <w:rPr>
                <w:rFonts w:eastAsiaTheme="minorHAnsi" w:cs="Arial"/>
                <w:color w:val="000000"/>
                <w:sz w:val="20"/>
                <w:lang w:eastAsia="en-GB"/>
              </w:rPr>
              <w:lastRenderedPageBreak/>
              <w:t>by level of risk and sent to the maintenance team for action. All major works are programmed and sent to the PIT for planning and installation.</w:t>
            </w:r>
          </w:p>
          <w:p w:rsidR="00A5072F" w:rsidRPr="004F092E" w:rsidRDefault="00A5072F" w:rsidP="00604DDC">
            <w:pPr>
              <w:rPr>
                <w:rFonts w:eastAsiaTheme="minorHAnsi" w:cs="Arial"/>
                <w:color w:val="000000"/>
                <w:sz w:val="20"/>
                <w:lang w:eastAsia="en-GB"/>
              </w:rPr>
            </w:pPr>
          </w:p>
          <w:p w:rsidR="00A5072F" w:rsidRPr="004F092E" w:rsidRDefault="00A5072F" w:rsidP="00604DDC">
            <w:pPr>
              <w:rPr>
                <w:rFonts w:eastAsiaTheme="minorHAnsi" w:cs="Arial"/>
                <w:color w:val="000000"/>
                <w:sz w:val="20"/>
                <w:lang w:eastAsia="en-GB"/>
              </w:rPr>
            </w:pPr>
            <w:r w:rsidRPr="004F092E">
              <w:rPr>
                <w:rFonts w:eastAsiaTheme="minorHAnsi" w:cs="Arial"/>
                <w:color w:val="000000"/>
                <w:sz w:val="20"/>
                <w:lang w:eastAsia="en-GB"/>
              </w:rPr>
              <w:t xml:space="preserve">Regular auditing is carried out on all our higher risk properties to ensure continued compliance across all areas and compliance with Article 17 of the RRO 2005 Fire Safety Order Legislation. </w:t>
            </w:r>
          </w:p>
          <w:p w:rsidR="00A5072F" w:rsidRPr="004F092E" w:rsidRDefault="00A5072F" w:rsidP="00604DDC">
            <w:pPr>
              <w:rPr>
                <w:rFonts w:eastAsiaTheme="minorHAnsi" w:cs="Arial"/>
                <w:color w:val="000000"/>
                <w:sz w:val="20"/>
                <w:lang w:eastAsia="en-GB"/>
              </w:rPr>
            </w:pPr>
          </w:p>
          <w:p w:rsidR="00A5072F" w:rsidRPr="004F092E" w:rsidRDefault="00A5072F" w:rsidP="00604DDC">
            <w:pPr>
              <w:rPr>
                <w:rFonts w:eastAsiaTheme="minorHAnsi" w:cs="Arial"/>
                <w:color w:val="000000"/>
                <w:sz w:val="20"/>
                <w:lang w:eastAsia="en-GB"/>
              </w:rPr>
            </w:pPr>
            <w:r>
              <w:rPr>
                <w:rFonts w:eastAsiaTheme="minorHAnsi" w:cs="Arial"/>
                <w:color w:val="000000"/>
                <w:sz w:val="20"/>
                <w:lang w:eastAsia="en-GB"/>
              </w:rPr>
              <w:t>Senior M</w:t>
            </w:r>
            <w:r w:rsidRPr="004F092E">
              <w:rPr>
                <w:rFonts w:eastAsiaTheme="minorHAnsi" w:cs="Arial"/>
                <w:color w:val="000000"/>
                <w:sz w:val="20"/>
                <w:lang w:eastAsia="en-GB"/>
              </w:rPr>
              <w:t xml:space="preserve">anagers </w:t>
            </w:r>
            <w:r w:rsidR="00764FE8">
              <w:rPr>
                <w:rFonts w:eastAsiaTheme="minorHAnsi" w:cs="Arial"/>
                <w:color w:val="000000"/>
                <w:sz w:val="20"/>
                <w:lang w:eastAsia="en-GB"/>
              </w:rPr>
              <w:t>and</w:t>
            </w:r>
            <w:r w:rsidRPr="004F092E">
              <w:rPr>
                <w:rFonts w:eastAsiaTheme="minorHAnsi" w:cs="Arial"/>
                <w:color w:val="000000"/>
                <w:sz w:val="20"/>
                <w:lang w:eastAsia="en-GB"/>
              </w:rPr>
              <w:t xml:space="preserve"> the fire risk assessor regularly attend group </w:t>
            </w:r>
            <w:r w:rsidR="00764FE8">
              <w:rPr>
                <w:rFonts w:eastAsiaTheme="minorHAnsi" w:cs="Arial"/>
                <w:color w:val="000000"/>
                <w:sz w:val="20"/>
                <w:lang w:eastAsia="en-GB"/>
              </w:rPr>
              <w:t>C</w:t>
            </w:r>
            <w:r w:rsidRPr="004F092E">
              <w:rPr>
                <w:rFonts w:eastAsiaTheme="minorHAnsi" w:cs="Arial"/>
                <w:color w:val="000000"/>
                <w:sz w:val="20"/>
                <w:lang w:eastAsia="en-GB"/>
              </w:rPr>
              <w:t xml:space="preserve">ouncil meetings and Institution seminars to discuss the outcomes and impact that the Hackett report will have on the LBH. The report is currently aimed at </w:t>
            </w:r>
            <w:r>
              <w:rPr>
                <w:rFonts w:eastAsiaTheme="minorHAnsi" w:cs="Arial"/>
                <w:color w:val="000000"/>
                <w:sz w:val="20"/>
                <w:lang w:eastAsia="en-GB"/>
              </w:rPr>
              <w:t>High Rise Resident Buildings (</w:t>
            </w:r>
            <w:r w:rsidRPr="004F092E">
              <w:rPr>
                <w:rFonts w:eastAsiaTheme="minorHAnsi" w:cs="Arial"/>
                <w:color w:val="000000"/>
                <w:sz w:val="20"/>
                <w:lang w:eastAsia="en-GB"/>
              </w:rPr>
              <w:t>HRRB</w:t>
            </w:r>
            <w:r>
              <w:rPr>
                <w:rFonts w:eastAsiaTheme="minorHAnsi" w:cs="Arial"/>
                <w:color w:val="000000"/>
                <w:sz w:val="20"/>
                <w:lang w:eastAsia="en-GB"/>
              </w:rPr>
              <w:t>)</w:t>
            </w:r>
            <w:r w:rsidRPr="004F092E">
              <w:rPr>
                <w:rFonts w:eastAsiaTheme="minorHAnsi" w:cs="Arial"/>
                <w:color w:val="000000"/>
                <w:sz w:val="20"/>
                <w:lang w:eastAsia="en-GB"/>
              </w:rPr>
              <w:t xml:space="preserve"> but all housing below 18m will be eventually fall under this vigorous umbrella of safety.</w:t>
            </w:r>
          </w:p>
          <w:p w:rsidR="00A5072F" w:rsidRPr="00322158" w:rsidRDefault="00A5072F">
            <w:pPr>
              <w:rPr>
                <w:rFonts w:eastAsiaTheme="minorHAnsi" w:cs="Arial"/>
                <w:color w:val="000000"/>
                <w:sz w:val="20"/>
                <w:lang w:eastAsia="en-GB"/>
              </w:rPr>
            </w:pPr>
          </w:p>
        </w:tc>
      </w:tr>
      <w:tr w:rsidR="00A5072F" w:rsidRPr="004046D8" w:rsidTr="00A5072F">
        <w:tc>
          <w:tcPr>
            <w:tcW w:w="2718" w:type="dxa"/>
          </w:tcPr>
          <w:p w:rsidR="00A5072F" w:rsidRPr="00196DDF" w:rsidRDefault="00A5072F">
            <w:pPr>
              <w:rPr>
                <w:rFonts w:eastAsiaTheme="minorHAnsi" w:cs="Arial"/>
                <w:bCs/>
                <w:sz w:val="22"/>
                <w:szCs w:val="22"/>
              </w:rPr>
            </w:pPr>
            <w:r w:rsidRPr="00322158">
              <w:rPr>
                <w:sz w:val="20"/>
              </w:rPr>
              <w:lastRenderedPageBreak/>
              <w:t>The potential risk of Asbestos in core of door and vicinity of work area</w:t>
            </w:r>
            <w:r w:rsidRPr="00196DDF">
              <w:rPr>
                <w:bCs/>
                <w:sz w:val="22"/>
              </w:rPr>
              <w:t>.</w:t>
            </w:r>
          </w:p>
        </w:tc>
        <w:tc>
          <w:tcPr>
            <w:tcW w:w="5328" w:type="dxa"/>
          </w:tcPr>
          <w:p w:rsidR="00A5072F" w:rsidRPr="00322158" w:rsidRDefault="00A5072F">
            <w:pPr>
              <w:rPr>
                <w:rFonts w:eastAsiaTheme="minorHAnsi" w:cs="Arial"/>
                <w:color w:val="000000"/>
                <w:sz w:val="20"/>
                <w:lang w:eastAsia="en-GB"/>
              </w:rPr>
            </w:pPr>
            <w:r w:rsidRPr="00322158">
              <w:rPr>
                <w:rFonts w:eastAsiaTheme="minorHAnsi" w:cs="Arial"/>
                <w:color w:val="000000"/>
                <w:sz w:val="20"/>
                <w:lang w:eastAsia="en-GB"/>
              </w:rPr>
              <w:t>An Asbestos register of all block properties surveyed by LBH will be provided to the contractor. The trained contractor is to contact LBH if there is a likelihood of identified asbestos being disturbed during the works.</w:t>
            </w:r>
          </w:p>
          <w:p w:rsidR="00A5072F" w:rsidRPr="00322158" w:rsidRDefault="00A5072F">
            <w:pPr>
              <w:pStyle w:val="Default"/>
              <w:rPr>
                <w:sz w:val="20"/>
                <w:szCs w:val="20"/>
              </w:rPr>
            </w:pPr>
            <w:r w:rsidRPr="00322158">
              <w:rPr>
                <w:sz w:val="20"/>
                <w:szCs w:val="20"/>
              </w:rPr>
              <w:t>If doors have not been surveyed for Asbestos then it will be assumed to be an A</w:t>
            </w:r>
            <w:r>
              <w:rPr>
                <w:sz w:val="20"/>
                <w:szCs w:val="20"/>
              </w:rPr>
              <w:t>sbestos containing Material (ACM)</w:t>
            </w:r>
            <w:r w:rsidRPr="00322158">
              <w:rPr>
                <w:sz w:val="20"/>
                <w:szCs w:val="20"/>
              </w:rPr>
              <w:t>.The contractor will follow a pre-planned method statement to removing, storing and disposing the ACM before installation of the new doors.</w:t>
            </w:r>
          </w:p>
          <w:p w:rsidR="00A5072F" w:rsidRPr="00322158" w:rsidRDefault="00A5072F">
            <w:pPr>
              <w:pStyle w:val="Default"/>
              <w:rPr>
                <w:sz w:val="20"/>
                <w:szCs w:val="20"/>
              </w:rPr>
            </w:pPr>
          </w:p>
          <w:p w:rsidR="00A5072F" w:rsidRPr="00322158" w:rsidRDefault="00A5072F" w:rsidP="00322158">
            <w:pPr>
              <w:pStyle w:val="Default"/>
              <w:rPr>
                <w:sz w:val="20"/>
                <w:szCs w:val="20"/>
              </w:rPr>
            </w:pPr>
            <w:r w:rsidRPr="00322158">
              <w:rPr>
                <w:sz w:val="20"/>
                <w:szCs w:val="20"/>
              </w:rPr>
              <w:t>Any PPE required will be supplied to the operatives by the contractor.</w:t>
            </w:r>
          </w:p>
        </w:tc>
      </w:tr>
      <w:tr w:rsidR="00A5072F" w:rsidRPr="004046D8" w:rsidTr="00A5072F">
        <w:tc>
          <w:tcPr>
            <w:tcW w:w="2718" w:type="dxa"/>
          </w:tcPr>
          <w:p w:rsidR="00A5072F" w:rsidRPr="00322158" w:rsidRDefault="00A5072F" w:rsidP="007E189B">
            <w:pPr>
              <w:autoSpaceDE w:val="0"/>
              <w:autoSpaceDN w:val="0"/>
              <w:adjustRightInd w:val="0"/>
              <w:rPr>
                <w:rFonts w:ascii="Helvetica" w:hAnsi="Helvetica" w:cs="Helvetica"/>
                <w:sz w:val="20"/>
                <w:szCs w:val="22"/>
                <w:lang w:eastAsia="en-GB"/>
              </w:rPr>
            </w:pPr>
            <w:r w:rsidRPr="00322158">
              <w:rPr>
                <w:rFonts w:ascii="Helvetica" w:hAnsi="Helvetica" w:cs="Helvetica"/>
                <w:sz w:val="20"/>
                <w:szCs w:val="22"/>
                <w:lang w:eastAsia="en-GB"/>
              </w:rPr>
              <w:t>Contractors unable to fulfil the requirements</w:t>
            </w:r>
          </w:p>
          <w:p w:rsidR="00A5072F" w:rsidRPr="00322158" w:rsidRDefault="00A5072F" w:rsidP="007E189B">
            <w:pPr>
              <w:autoSpaceDE w:val="0"/>
              <w:autoSpaceDN w:val="0"/>
              <w:adjustRightInd w:val="0"/>
              <w:rPr>
                <w:rFonts w:ascii="Helvetica" w:hAnsi="Helvetica" w:cs="Helvetica"/>
                <w:sz w:val="20"/>
                <w:szCs w:val="22"/>
                <w:lang w:eastAsia="en-GB"/>
              </w:rPr>
            </w:pPr>
            <w:r w:rsidRPr="00322158">
              <w:rPr>
                <w:rFonts w:ascii="Helvetica" w:hAnsi="Helvetica" w:cs="Helvetica"/>
                <w:sz w:val="20"/>
                <w:szCs w:val="22"/>
                <w:lang w:eastAsia="en-GB"/>
              </w:rPr>
              <w:t>of the contract e.g.</w:t>
            </w:r>
          </w:p>
          <w:p w:rsidR="00A5072F" w:rsidRPr="00322158" w:rsidRDefault="00A5072F" w:rsidP="007E189B">
            <w:pPr>
              <w:autoSpaceDE w:val="0"/>
              <w:autoSpaceDN w:val="0"/>
              <w:adjustRightInd w:val="0"/>
              <w:rPr>
                <w:rFonts w:ascii="Helvetica" w:hAnsi="Helvetica" w:cs="Helvetica"/>
                <w:sz w:val="20"/>
                <w:szCs w:val="22"/>
                <w:lang w:eastAsia="en-GB"/>
              </w:rPr>
            </w:pPr>
            <w:r w:rsidRPr="00322158">
              <w:rPr>
                <w:rFonts w:ascii="Helvetica" w:hAnsi="Helvetica" w:cs="Helvetica"/>
                <w:sz w:val="20"/>
                <w:szCs w:val="22"/>
                <w:lang w:eastAsia="en-GB"/>
              </w:rPr>
              <w:t>poor performance,</w:t>
            </w:r>
          </w:p>
          <w:p w:rsidR="00A5072F" w:rsidRPr="00322158" w:rsidRDefault="00A5072F" w:rsidP="007E189B">
            <w:pPr>
              <w:autoSpaceDE w:val="0"/>
              <w:autoSpaceDN w:val="0"/>
              <w:adjustRightInd w:val="0"/>
              <w:rPr>
                <w:rFonts w:ascii="Helvetica" w:hAnsi="Helvetica" w:cs="Helvetica"/>
                <w:sz w:val="20"/>
                <w:szCs w:val="22"/>
                <w:lang w:eastAsia="en-GB"/>
              </w:rPr>
            </w:pPr>
            <w:r w:rsidRPr="00322158">
              <w:rPr>
                <w:rFonts w:ascii="Helvetica" w:hAnsi="Helvetica" w:cs="Helvetica"/>
                <w:sz w:val="20"/>
                <w:szCs w:val="22"/>
                <w:lang w:eastAsia="en-GB"/>
              </w:rPr>
              <w:t>Leading to the need to terminate the contract.</w:t>
            </w:r>
          </w:p>
          <w:p w:rsidR="00A5072F" w:rsidRPr="00322158" w:rsidRDefault="00A5072F" w:rsidP="007E189B">
            <w:pPr>
              <w:autoSpaceDE w:val="0"/>
              <w:autoSpaceDN w:val="0"/>
              <w:adjustRightInd w:val="0"/>
              <w:rPr>
                <w:rFonts w:ascii="Helvetica" w:hAnsi="Helvetica" w:cs="Helvetica"/>
                <w:sz w:val="20"/>
                <w:szCs w:val="22"/>
                <w:lang w:eastAsia="en-GB"/>
              </w:rPr>
            </w:pPr>
          </w:p>
        </w:tc>
        <w:tc>
          <w:tcPr>
            <w:tcW w:w="5328" w:type="dxa"/>
          </w:tcPr>
          <w:p w:rsidR="00A5072F" w:rsidRPr="00322158" w:rsidRDefault="00A5072F" w:rsidP="007E189B">
            <w:pPr>
              <w:autoSpaceDE w:val="0"/>
              <w:autoSpaceDN w:val="0"/>
              <w:adjustRightInd w:val="0"/>
              <w:rPr>
                <w:rFonts w:ascii="Helvetica" w:hAnsi="Helvetica" w:cs="Helvetica"/>
                <w:sz w:val="20"/>
                <w:szCs w:val="22"/>
                <w:lang w:eastAsia="en-GB"/>
              </w:rPr>
            </w:pPr>
            <w:r w:rsidRPr="00322158">
              <w:rPr>
                <w:rFonts w:ascii="Helvetica" w:hAnsi="Helvetica" w:cs="Helvetica"/>
                <w:sz w:val="20"/>
                <w:szCs w:val="22"/>
                <w:lang w:eastAsia="en-GB"/>
              </w:rPr>
              <w:t>The Council will use back up</w:t>
            </w:r>
          </w:p>
          <w:p w:rsidR="00A5072F" w:rsidRPr="00322158" w:rsidRDefault="00764FE8" w:rsidP="007E189B">
            <w:pPr>
              <w:autoSpaceDE w:val="0"/>
              <w:autoSpaceDN w:val="0"/>
              <w:adjustRightInd w:val="0"/>
              <w:rPr>
                <w:rFonts w:ascii="Helvetica" w:hAnsi="Helvetica" w:cs="Helvetica"/>
                <w:sz w:val="20"/>
                <w:szCs w:val="22"/>
                <w:lang w:eastAsia="en-GB"/>
              </w:rPr>
            </w:pPr>
            <w:proofErr w:type="gramStart"/>
            <w:r>
              <w:rPr>
                <w:rFonts w:ascii="Helvetica" w:hAnsi="Helvetica" w:cs="Helvetica"/>
                <w:sz w:val="20"/>
                <w:szCs w:val="22"/>
                <w:lang w:eastAsia="en-GB"/>
              </w:rPr>
              <w:t>a</w:t>
            </w:r>
            <w:r w:rsidR="00A5072F" w:rsidRPr="00322158">
              <w:rPr>
                <w:rFonts w:ascii="Helvetica" w:hAnsi="Helvetica" w:cs="Helvetica"/>
                <w:sz w:val="20"/>
                <w:szCs w:val="22"/>
                <w:lang w:eastAsia="en-GB"/>
              </w:rPr>
              <w:t>rrangements</w:t>
            </w:r>
            <w:proofErr w:type="gramEnd"/>
            <w:r w:rsidR="00A5072F" w:rsidRPr="00322158">
              <w:rPr>
                <w:rFonts w:ascii="Helvetica" w:hAnsi="Helvetica" w:cs="Helvetica"/>
                <w:sz w:val="20"/>
                <w:szCs w:val="22"/>
                <w:lang w:eastAsia="en-GB"/>
              </w:rPr>
              <w:t xml:space="preserve"> within the contract. All references will be checked for similar type of works before being allowed to go on approved list of contractors.</w:t>
            </w:r>
          </w:p>
        </w:tc>
      </w:tr>
      <w:tr w:rsidR="00A5072F" w:rsidRPr="004046D8" w:rsidTr="00A5072F">
        <w:tc>
          <w:tcPr>
            <w:tcW w:w="2718" w:type="dxa"/>
          </w:tcPr>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Does not achieve</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competitiveness and value for</w:t>
            </w:r>
          </w:p>
          <w:p w:rsidR="00A5072F" w:rsidRPr="00322158" w:rsidRDefault="00A5072F" w:rsidP="007E189B">
            <w:pPr>
              <w:autoSpaceDE w:val="0"/>
              <w:autoSpaceDN w:val="0"/>
              <w:adjustRightInd w:val="0"/>
              <w:rPr>
                <w:rFonts w:ascii="Helvetica" w:hAnsi="Helvetica" w:cs="Helvetica"/>
                <w:sz w:val="20"/>
                <w:szCs w:val="22"/>
                <w:lang w:eastAsia="en-GB"/>
              </w:rPr>
            </w:pPr>
            <w:r w:rsidRPr="00322158">
              <w:rPr>
                <w:rFonts w:ascii="ArialMT" w:hAnsi="ArialMT" w:cs="ArialMT"/>
                <w:sz w:val="20"/>
                <w:szCs w:val="22"/>
                <w:lang w:eastAsia="en-GB"/>
              </w:rPr>
              <w:t>Money.</w:t>
            </w:r>
          </w:p>
        </w:tc>
        <w:tc>
          <w:tcPr>
            <w:tcW w:w="5328" w:type="dxa"/>
          </w:tcPr>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The tender will be assessed</w:t>
            </w:r>
            <w:r w:rsidR="00764FE8">
              <w:rPr>
                <w:rFonts w:ascii="ArialMT" w:hAnsi="ArialMT" w:cs="ArialMT"/>
                <w:sz w:val="20"/>
                <w:szCs w:val="22"/>
                <w:lang w:eastAsia="en-GB"/>
              </w:rPr>
              <w:t xml:space="preserve"> o</w:t>
            </w:r>
            <w:r w:rsidRPr="00322158">
              <w:rPr>
                <w:rFonts w:ascii="ArialMT" w:hAnsi="ArialMT" w:cs="ArialMT"/>
                <w:sz w:val="20"/>
                <w:szCs w:val="22"/>
                <w:lang w:eastAsia="en-GB"/>
              </w:rPr>
              <w:t xml:space="preserve">n a </w:t>
            </w:r>
            <w:r w:rsidR="00764FE8">
              <w:rPr>
                <w:rFonts w:ascii="ArialMT" w:hAnsi="ArialMT" w:cs="ArialMT"/>
                <w:sz w:val="20"/>
                <w:szCs w:val="22"/>
                <w:lang w:eastAsia="en-GB"/>
              </w:rPr>
              <w:t>p</w:t>
            </w:r>
            <w:r w:rsidRPr="00322158">
              <w:rPr>
                <w:rFonts w:ascii="ArialMT" w:hAnsi="ArialMT" w:cs="ArialMT"/>
                <w:sz w:val="20"/>
                <w:szCs w:val="22"/>
                <w:lang w:eastAsia="en-GB"/>
              </w:rPr>
              <w:t xml:space="preserve">rice, </w:t>
            </w:r>
            <w:r w:rsidR="00764FE8">
              <w:rPr>
                <w:rFonts w:ascii="ArialMT" w:hAnsi="ArialMT" w:cs="ArialMT"/>
                <w:sz w:val="20"/>
                <w:szCs w:val="22"/>
                <w:lang w:eastAsia="en-GB"/>
              </w:rPr>
              <w:t>q</w:t>
            </w:r>
            <w:r w:rsidRPr="00322158">
              <w:rPr>
                <w:rFonts w:ascii="ArialMT" w:hAnsi="ArialMT" w:cs="ArialMT"/>
                <w:sz w:val="20"/>
                <w:szCs w:val="22"/>
                <w:lang w:eastAsia="en-GB"/>
              </w:rPr>
              <w:t>uality and social basis.</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The price payable to the</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contractor will be calculated</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by reference to the rates and</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prices set out in the</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Contractor’s pricing schedule.</w:t>
            </w:r>
          </w:p>
        </w:tc>
      </w:tr>
      <w:tr w:rsidR="00A5072F" w:rsidRPr="004046D8" w:rsidTr="00A5072F">
        <w:tc>
          <w:tcPr>
            <w:tcW w:w="2718" w:type="dxa"/>
          </w:tcPr>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Communication of the works to all parties including Residents to avoid reputational</w:t>
            </w:r>
          </w:p>
          <w:p w:rsidR="00A5072F" w:rsidRPr="00322158" w:rsidRDefault="00A5072F" w:rsidP="007E189B">
            <w:pPr>
              <w:autoSpaceDE w:val="0"/>
              <w:autoSpaceDN w:val="0"/>
              <w:adjustRightInd w:val="0"/>
              <w:rPr>
                <w:rFonts w:ascii="ArialMT" w:hAnsi="ArialMT" w:cs="ArialMT"/>
                <w:sz w:val="20"/>
                <w:szCs w:val="22"/>
                <w:lang w:eastAsia="en-GB"/>
              </w:rPr>
            </w:pPr>
            <w:proofErr w:type="gramStart"/>
            <w:r w:rsidRPr="00322158">
              <w:rPr>
                <w:rFonts w:ascii="ArialMT" w:hAnsi="ArialMT" w:cs="ArialMT"/>
                <w:sz w:val="20"/>
                <w:szCs w:val="22"/>
                <w:lang w:eastAsia="en-GB"/>
              </w:rPr>
              <w:t>risk</w:t>
            </w:r>
            <w:proofErr w:type="gramEnd"/>
            <w:r w:rsidRPr="00322158">
              <w:rPr>
                <w:rFonts w:ascii="ArialMT" w:hAnsi="ArialMT" w:cs="ArialMT"/>
                <w:sz w:val="20"/>
                <w:szCs w:val="22"/>
                <w:lang w:eastAsia="en-GB"/>
              </w:rPr>
              <w:t xml:space="preserve"> and hindering development coming forward. </w:t>
            </w:r>
          </w:p>
          <w:p w:rsidR="00A5072F" w:rsidRPr="00322158" w:rsidRDefault="00A5072F" w:rsidP="007E189B">
            <w:pPr>
              <w:autoSpaceDE w:val="0"/>
              <w:autoSpaceDN w:val="0"/>
              <w:adjustRightInd w:val="0"/>
              <w:rPr>
                <w:rFonts w:ascii="ArialMT" w:hAnsi="ArialMT" w:cs="ArialMT"/>
                <w:sz w:val="20"/>
                <w:szCs w:val="22"/>
                <w:lang w:eastAsia="en-GB"/>
              </w:rPr>
            </w:pP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Failure to deliver / impact of poor operating practice detrimental</w:t>
            </w:r>
            <w:r w:rsidR="006319FD">
              <w:rPr>
                <w:rFonts w:ascii="ArialMT" w:hAnsi="ArialMT" w:cs="ArialMT"/>
                <w:sz w:val="20"/>
                <w:szCs w:val="22"/>
                <w:lang w:eastAsia="en-GB"/>
              </w:rPr>
              <w:t xml:space="preserve"> </w:t>
            </w:r>
            <w:r w:rsidRPr="00322158">
              <w:rPr>
                <w:rFonts w:ascii="ArialMT" w:hAnsi="ArialMT" w:cs="ArialMT"/>
                <w:sz w:val="20"/>
                <w:szCs w:val="22"/>
                <w:lang w:eastAsia="en-GB"/>
              </w:rPr>
              <w:t>to reputation.</w:t>
            </w:r>
          </w:p>
          <w:p w:rsidR="00A5072F" w:rsidRPr="004046D8" w:rsidRDefault="00A5072F" w:rsidP="007E189B">
            <w:pPr>
              <w:autoSpaceDE w:val="0"/>
              <w:autoSpaceDN w:val="0"/>
              <w:adjustRightInd w:val="0"/>
              <w:rPr>
                <w:rFonts w:ascii="ArialMT" w:hAnsi="ArialMT" w:cs="ArialMT"/>
                <w:sz w:val="22"/>
                <w:szCs w:val="22"/>
                <w:lang w:eastAsia="en-GB"/>
              </w:rPr>
            </w:pPr>
          </w:p>
        </w:tc>
        <w:tc>
          <w:tcPr>
            <w:tcW w:w="5328" w:type="dxa"/>
          </w:tcPr>
          <w:p w:rsidR="006319FD" w:rsidRDefault="006319FD" w:rsidP="007E189B">
            <w:pPr>
              <w:autoSpaceDE w:val="0"/>
              <w:autoSpaceDN w:val="0"/>
              <w:adjustRightInd w:val="0"/>
              <w:rPr>
                <w:rFonts w:ascii="ArialMT" w:hAnsi="ArialMT" w:cs="ArialMT"/>
                <w:sz w:val="20"/>
                <w:szCs w:val="22"/>
                <w:lang w:eastAsia="en-GB"/>
              </w:rPr>
            </w:pP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Effective communication strategy to mitigate concerns about performance and ensure deliverability is not</w:t>
            </w:r>
          </w:p>
          <w:p w:rsidR="00A5072F" w:rsidRPr="00322158" w:rsidRDefault="00764FE8" w:rsidP="007E189B">
            <w:pPr>
              <w:autoSpaceDE w:val="0"/>
              <w:autoSpaceDN w:val="0"/>
              <w:adjustRightInd w:val="0"/>
              <w:rPr>
                <w:rFonts w:ascii="ArialMT" w:hAnsi="ArialMT" w:cs="ArialMT"/>
                <w:sz w:val="20"/>
                <w:szCs w:val="22"/>
                <w:lang w:eastAsia="en-GB"/>
              </w:rPr>
            </w:pPr>
            <w:proofErr w:type="gramStart"/>
            <w:r>
              <w:rPr>
                <w:rFonts w:ascii="ArialMT" w:hAnsi="ArialMT" w:cs="ArialMT"/>
                <w:sz w:val="20"/>
                <w:szCs w:val="22"/>
                <w:lang w:eastAsia="en-GB"/>
              </w:rPr>
              <w:t>i</w:t>
            </w:r>
            <w:r w:rsidR="00A5072F" w:rsidRPr="00322158">
              <w:rPr>
                <w:rFonts w:ascii="ArialMT" w:hAnsi="ArialMT" w:cs="ArialMT"/>
                <w:sz w:val="20"/>
                <w:szCs w:val="22"/>
                <w:lang w:eastAsia="en-GB"/>
              </w:rPr>
              <w:t>mpeded</w:t>
            </w:r>
            <w:proofErr w:type="gramEnd"/>
            <w:r w:rsidR="00A5072F" w:rsidRPr="00322158">
              <w:rPr>
                <w:rFonts w:ascii="ArialMT" w:hAnsi="ArialMT" w:cs="ArialMT"/>
                <w:sz w:val="20"/>
                <w:szCs w:val="22"/>
                <w:lang w:eastAsia="en-GB"/>
              </w:rPr>
              <w:t xml:space="preserve">. Positive campaign adopted by the Council and administration. </w:t>
            </w:r>
          </w:p>
          <w:p w:rsidR="00A5072F" w:rsidRDefault="00A5072F" w:rsidP="007E189B">
            <w:pPr>
              <w:autoSpaceDE w:val="0"/>
              <w:autoSpaceDN w:val="0"/>
              <w:adjustRightInd w:val="0"/>
              <w:rPr>
                <w:rFonts w:ascii="ArialMT" w:hAnsi="ArialMT" w:cs="ArialMT"/>
                <w:sz w:val="20"/>
                <w:szCs w:val="22"/>
                <w:lang w:eastAsia="en-GB"/>
              </w:rPr>
            </w:pPr>
          </w:p>
          <w:p w:rsidR="006319FD" w:rsidRDefault="006319FD" w:rsidP="007E189B">
            <w:pPr>
              <w:autoSpaceDE w:val="0"/>
              <w:autoSpaceDN w:val="0"/>
              <w:adjustRightInd w:val="0"/>
              <w:rPr>
                <w:rFonts w:ascii="ArialMT" w:hAnsi="ArialMT" w:cs="ArialMT"/>
                <w:sz w:val="20"/>
                <w:szCs w:val="22"/>
                <w:lang w:eastAsia="en-GB"/>
              </w:rPr>
            </w:pPr>
          </w:p>
          <w:p w:rsidR="006319FD" w:rsidRDefault="006319FD" w:rsidP="007E189B">
            <w:pPr>
              <w:autoSpaceDE w:val="0"/>
              <w:autoSpaceDN w:val="0"/>
              <w:adjustRightInd w:val="0"/>
              <w:rPr>
                <w:rFonts w:ascii="ArialMT" w:hAnsi="ArialMT" w:cs="ArialMT"/>
                <w:sz w:val="20"/>
                <w:szCs w:val="22"/>
                <w:lang w:eastAsia="en-GB"/>
              </w:rPr>
            </w:pPr>
          </w:p>
          <w:p w:rsidR="006319FD" w:rsidRPr="00322158" w:rsidRDefault="006319FD" w:rsidP="007E189B">
            <w:pPr>
              <w:autoSpaceDE w:val="0"/>
              <w:autoSpaceDN w:val="0"/>
              <w:adjustRightInd w:val="0"/>
              <w:rPr>
                <w:rFonts w:ascii="ArialMT" w:hAnsi="ArialMT" w:cs="ArialMT"/>
                <w:sz w:val="20"/>
                <w:szCs w:val="22"/>
                <w:lang w:eastAsia="en-GB"/>
              </w:rPr>
            </w:pP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Only contractors that can satisfy obligations are appointed.</w:t>
            </w:r>
          </w:p>
        </w:tc>
      </w:tr>
      <w:tr w:rsidR="00A5072F" w:rsidRPr="004046D8" w:rsidTr="00A5072F">
        <w:tc>
          <w:tcPr>
            <w:tcW w:w="2718" w:type="dxa"/>
          </w:tcPr>
          <w:p w:rsidR="00A5072F" w:rsidRPr="004046D8" w:rsidRDefault="00A5072F" w:rsidP="00C45EF1">
            <w:pPr>
              <w:autoSpaceDE w:val="0"/>
              <w:autoSpaceDN w:val="0"/>
              <w:adjustRightInd w:val="0"/>
              <w:rPr>
                <w:rFonts w:ascii="ArialMT" w:hAnsi="ArialMT" w:cs="ArialMT"/>
                <w:sz w:val="22"/>
                <w:szCs w:val="22"/>
                <w:lang w:eastAsia="en-GB"/>
              </w:rPr>
            </w:pPr>
            <w:r w:rsidRPr="00322158">
              <w:rPr>
                <w:rFonts w:ascii="ArialMT" w:hAnsi="ArialMT" w:cs="ArialMT"/>
                <w:sz w:val="20"/>
                <w:szCs w:val="22"/>
                <w:lang w:eastAsia="en-GB"/>
              </w:rPr>
              <w:t>The hazards associated with door renewal and its implication for residents, visitors and bystanders</w:t>
            </w:r>
            <w:r w:rsidRPr="00322158">
              <w:rPr>
                <w:rFonts w:cs="Arial"/>
                <w:sz w:val="18"/>
                <w:szCs w:val="19"/>
                <w:lang w:val="en"/>
              </w:rPr>
              <w:t xml:space="preserve"> </w:t>
            </w:r>
          </w:p>
        </w:tc>
        <w:tc>
          <w:tcPr>
            <w:tcW w:w="5328" w:type="dxa"/>
          </w:tcPr>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Ensure that all risks are considered and included in the construction phase plan to be assessed by the principal designer and make certain that the hazards are either removed or reduced.</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Ensure there are RAMS for sub-tasks.</w:t>
            </w:r>
          </w:p>
          <w:p w:rsidR="00A5072F" w:rsidRPr="00322158" w:rsidRDefault="00A5072F" w:rsidP="007E189B">
            <w:pPr>
              <w:autoSpaceDE w:val="0"/>
              <w:autoSpaceDN w:val="0"/>
              <w:adjustRightInd w:val="0"/>
              <w:rPr>
                <w:rFonts w:ascii="ArialMT" w:hAnsi="ArialMT" w:cs="ArialMT"/>
                <w:sz w:val="20"/>
                <w:szCs w:val="22"/>
                <w:lang w:eastAsia="en-GB"/>
              </w:rPr>
            </w:pPr>
            <w:r w:rsidRPr="00322158">
              <w:rPr>
                <w:rFonts w:ascii="ArialMT" w:hAnsi="ArialMT" w:cs="ArialMT"/>
                <w:sz w:val="20"/>
                <w:szCs w:val="22"/>
                <w:lang w:eastAsia="en-GB"/>
              </w:rPr>
              <w:t>Contractor is to ensure that all sub-contractor</w:t>
            </w:r>
            <w:r w:rsidR="00764FE8">
              <w:rPr>
                <w:rFonts w:ascii="ArialMT" w:hAnsi="ArialMT" w:cs="ArialMT"/>
                <w:sz w:val="20"/>
                <w:szCs w:val="22"/>
                <w:lang w:eastAsia="en-GB"/>
              </w:rPr>
              <w:t>s</w:t>
            </w:r>
            <w:r w:rsidRPr="00322158">
              <w:rPr>
                <w:rFonts w:ascii="ArialMT" w:hAnsi="ArialMT" w:cs="ArialMT"/>
                <w:sz w:val="20"/>
                <w:szCs w:val="22"/>
                <w:lang w:eastAsia="en-GB"/>
              </w:rPr>
              <w:t xml:space="preserve"> are competent (knowledge, skill, experience).</w:t>
            </w:r>
          </w:p>
          <w:p w:rsidR="00A5072F" w:rsidRPr="004046D8" w:rsidRDefault="00A5072F" w:rsidP="007E189B">
            <w:pPr>
              <w:autoSpaceDE w:val="0"/>
              <w:autoSpaceDN w:val="0"/>
              <w:adjustRightInd w:val="0"/>
              <w:rPr>
                <w:rFonts w:ascii="ArialMT" w:hAnsi="ArialMT" w:cs="ArialMT"/>
                <w:sz w:val="22"/>
                <w:szCs w:val="22"/>
                <w:lang w:eastAsia="en-GB"/>
              </w:rPr>
            </w:pPr>
            <w:r w:rsidRPr="00322158">
              <w:rPr>
                <w:rFonts w:ascii="ArialMT" w:hAnsi="ArialMT" w:cs="ArialMT"/>
                <w:sz w:val="20"/>
                <w:szCs w:val="22"/>
                <w:lang w:eastAsia="en-GB"/>
              </w:rPr>
              <w:t xml:space="preserve">Ensure that the Contractor has the necessary insurance </w:t>
            </w:r>
            <w:r w:rsidRPr="00322158">
              <w:rPr>
                <w:rFonts w:ascii="ArialMT" w:hAnsi="ArialMT" w:cs="ArialMT"/>
                <w:sz w:val="20"/>
                <w:szCs w:val="22"/>
                <w:lang w:eastAsia="en-GB"/>
              </w:rPr>
              <w:lastRenderedPageBreak/>
              <w:t>to indemnify the risks involved.</w:t>
            </w:r>
          </w:p>
        </w:tc>
      </w:tr>
    </w:tbl>
    <w:p w:rsidR="00A46E56" w:rsidRDefault="00A46E56" w:rsidP="00A46E56"/>
    <w:p w:rsidR="00A81E19" w:rsidRDefault="00A81E19" w:rsidP="00A81E19">
      <w:pPr>
        <w:ind w:right="141"/>
        <w:rPr>
          <w:rFonts w:cs="Arial"/>
          <w:szCs w:val="24"/>
          <w:lang w:val="en-US" w:eastAsia="en-GB"/>
        </w:rPr>
      </w:pPr>
    </w:p>
    <w:p w:rsidR="002A3FEF" w:rsidRDefault="003D062B" w:rsidP="002A3FEF">
      <w:pPr>
        <w:pStyle w:val="Heading2"/>
      </w:pPr>
      <w:r>
        <w:t>13</w:t>
      </w:r>
      <w:r w:rsidR="000D1012">
        <w:t xml:space="preserve">.0 </w:t>
      </w:r>
      <w:r w:rsidR="00EE4A18">
        <w:t xml:space="preserve">  </w:t>
      </w:r>
      <w:r w:rsidR="002A3FEF">
        <w:t xml:space="preserve">Procurement Implications </w:t>
      </w:r>
    </w:p>
    <w:p w:rsidR="002A3FEF" w:rsidRPr="002A3FEF" w:rsidRDefault="002A3FEF" w:rsidP="002A3FEF"/>
    <w:p w:rsidR="00C45EF1" w:rsidRPr="000C231D" w:rsidRDefault="009C3FE2" w:rsidP="00C45EF1">
      <w:pPr>
        <w:pBdr>
          <w:top w:val="single" w:sz="4" w:space="1" w:color="auto"/>
          <w:left w:val="single" w:sz="4" w:space="4" w:color="auto"/>
          <w:bottom w:val="single" w:sz="4" w:space="1" w:color="auto"/>
          <w:right w:val="single" w:sz="4" w:space="4" w:color="auto"/>
        </w:pBdr>
      </w:pPr>
      <w:r>
        <w:t xml:space="preserve">13.1 </w:t>
      </w:r>
      <w:r w:rsidR="005A5197" w:rsidRPr="00C45B52">
        <w:rPr>
          <w:rFonts w:cs="Arial"/>
        </w:rPr>
        <w:t xml:space="preserve">The value of this </w:t>
      </w:r>
      <w:r w:rsidR="005A5197">
        <w:rPr>
          <w:rFonts w:cs="Arial"/>
        </w:rPr>
        <w:t>procurement</w:t>
      </w:r>
      <w:r w:rsidR="005A5197" w:rsidRPr="00C45B52">
        <w:rPr>
          <w:rFonts w:cs="Arial"/>
        </w:rPr>
        <w:t xml:space="preserve"> is below the OJEU threshold for Works</w:t>
      </w:r>
      <w:r w:rsidR="005A5197">
        <w:rPr>
          <w:rFonts w:cs="Arial"/>
        </w:rPr>
        <w:t xml:space="preserve"> and therefore not subject to the Public Contract Regulations 2015 (PCRs). </w:t>
      </w:r>
      <w:r w:rsidR="002865A8">
        <w:t xml:space="preserve">The procurement route will be an open procedure. </w:t>
      </w:r>
      <w:r w:rsidR="002865A8" w:rsidRPr="000C231D">
        <w:t xml:space="preserve">All </w:t>
      </w:r>
      <w:r w:rsidR="002865A8">
        <w:t xml:space="preserve">tender </w:t>
      </w:r>
      <w:r w:rsidR="002865A8" w:rsidRPr="000C231D">
        <w:t xml:space="preserve">documentation pertaining to the procurement of contractors will be </w:t>
      </w:r>
      <w:r w:rsidR="002865A8">
        <w:t>published via the London Tenders Portal</w:t>
      </w:r>
      <w:r w:rsidR="002865A8" w:rsidRPr="000C231D">
        <w:t xml:space="preserve">. </w:t>
      </w:r>
    </w:p>
    <w:p w:rsidR="002865A8" w:rsidRPr="000C231D" w:rsidRDefault="002865A8">
      <w:pPr>
        <w:pBdr>
          <w:top w:val="single" w:sz="4" w:space="1" w:color="auto"/>
          <w:left w:val="single" w:sz="4" w:space="4" w:color="auto"/>
          <w:bottom w:val="single" w:sz="4" w:space="1" w:color="auto"/>
          <w:right w:val="single" w:sz="4" w:space="4" w:color="auto"/>
        </w:pBdr>
      </w:pPr>
    </w:p>
    <w:p w:rsidR="00666922" w:rsidRPr="00421A4C" w:rsidRDefault="00666922" w:rsidP="002A3FEF">
      <w:pPr>
        <w:pBdr>
          <w:top w:val="single" w:sz="4" w:space="1" w:color="auto"/>
          <w:left w:val="single" w:sz="4" w:space="4" w:color="auto"/>
          <w:bottom w:val="single" w:sz="4" w:space="1" w:color="auto"/>
          <w:right w:val="single" w:sz="4" w:space="4" w:color="auto"/>
        </w:pBdr>
        <w:rPr>
          <w:color w:val="FF0000"/>
        </w:rPr>
      </w:pPr>
    </w:p>
    <w:p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C45EF1" w:rsidRDefault="003D062B" w:rsidP="00C45EF1">
            <w:pPr>
              <w:pStyle w:val="Heading2"/>
            </w:pPr>
            <w:r>
              <w:t>14</w:t>
            </w:r>
            <w:r w:rsidR="00C45EF1">
              <w:t>.0 Legal Implications</w:t>
            </w:r>
          </w:p>
          <w:p w:rsidR="00C45EF1" w:rsidRDefault="00C45EF1" w:rsidP="00C45EF1"/>
          <w:p w:rsidR="00C45EF1" w:rsidRDefault="003D062B" w:rsidP="00C45EF1">
            <w:r>
              <w:t>14</w:t>
            </w:r>
            <w:r w:rsidR="00C45EF1" w:rsidRPr="00940BA8">
              <w:t>.1 The value of th</w:t>
            </w:r>
            <w:r w:rsidR="00764FE8">
              <w:t>is</w:t>
            </w:r>
            <w:r w:rsidR="00C45EF1" w:rsidRPr="00940BA8">
              <w:t xml:space="preserve"> procurement is below the financial threshold requiring a tender procedure that complies with the Public Contracts Regulations 2015 so there is no requirement to advertise in OJEU or to follow one of the prescribed procedures.</w:t>
            </w:r>
            <w:r w:rsidR="00C45EF1">
              <w:t xml:space="preserve"> </w:t>
            </w:r>
          </w:p>
          <w:p w:rsidR="00490886" w:rsidRPr="00C81367" w:rsidRDefault="00490886" w:rsidP="00C45EF1">
            <w:pPr>
              <w:rPr>
                <w:highlight w:val="cyan"/>
              </w:rPr>
            </w:pPr>
          </w:p>
          <w:p w:rsidR="00C45EF1" w:rsidRPr="00C81367" w:rsidRDefault="003D062B" w:rsidP="00C45EF1">
            <w:pPr>
              <w:rPr>
                <w:highlight w:val="cyan"/>
              </w:rPr>
            </w:pPr>
            <w:r>
              <w:t>14</w:t>
            </w:r>
            <w:r w:rsidR="00C45EF1" w:rsidRPr="00940BA8">
              <w:t xml:space="preserve">.2 The procurement will </w:t>
            </w:r>
            <w:r w:rsidR="00C45EF1">
              <w:t xml:space="preserve">also </w:t>
            </w:r>
            <w:r w:rsidR="00C45EF1" w:rsidRPr="00940BA8">
              <w:t>comply with the Council</w:t>
            </w:r>
            <w:r w:rsidR="00AA41B1">
              <w:t>’</w:t>
            </w:r>
            <w:r w:rsidR="00C45EF1" w:rsidRPr="00940BA8">
              <w:t>s Contract Procedure Rule</w:t>
            </w:r>
            <w:r w:rsidR="00C45EF1" w:rsidRPr="003E4B10">
              <w:t>s</w:t>
            </w:r>
            <w:r w:rsidR="00490886">
              <w:t xml:space="preserve">, </w:t>
            </w:r>
            <w:r w:rsidR="002865A8">
              <w:t>which require</w:t>
            </w:r>
            <w:r w:rsidR="002B26C6">
              <w:t>s</w:t>
            </w:r>
            <w:r w:rsidR="002865A8">
              <w:t xml:space="preserve"> the </w:t>
            </w:r>
            <w:r w:rsidR="004A3A38">
              <w:t>C</w:t>
            </w:r>
            <w:r w:rsidR="002865A8">
              <w:t>ouncil to conduct a competitive tender process.</w:t>
            </w:r>
          </w:p>
          <w:p w:rsidR="00C45EF1" w:rsidRPr="00C81367" w:rsidRDefault="00C45EF1" w:rsidP="00C45EF1">
            <w:pPr>
              <w:rPr>
                <w:highlight w:val="cyan"/>
              </w:rPr>
            </w:pPr>
          </w:p>
          <w:p w:rsidR="00C45EF1" w:rsidRPr="00F5649A" w:rsidRDefault="003D062B" w:rsidP="00C45EF1">
            <w:r>
              <w:t>14</w:t>
            </w:r>
            <w:r w:rsidR="00C45EF1" w:rsidRPr="00940BA8">
              <w:t xml:space="preserve">.3. The Council also has a statutory duty </w:t>
            </w:r>
            <w:r w:rsidR="002865A8">
              <w:t>under S</w:t>
            </w:r>
            <w:r w:rsidR="002B26C6">
              <w:t xml:space="preserve">ection </w:t>
            </w:r>
            <w:r w:rsidR="002865A8">
              <w:t>20</w:t>
            </w:r>
            <w:r w:rsidR="00490886">
              <w:t xml:space="preserve"> </w:t>
            </w:r>
            <w:proofErr w:type="spellStart"/>
            <w:r w:rsidR="00490886">
              <w:t>Commonhold</w:t>
            </w:r>
            <w:proofErr w:type="spellEnd"/>
            <w:r w:rsidR="00490886">
              <w:t xml:space="preserve"> and Leasehold Reform Act 2002 to</w:t>
            </w:r>
            <w:r w:rsidR="00C45EF1" w:rsidRPr="00940BA8">
              <w:t xml:space="preserve"> undertake a </w:t>
            </w:r>
            <w:r w:rsidR="00C45EF1">
              <w:t>two</w:t>
            </w:r>
            <w:r w:rsidR="00C45EF1" w:rsidRPr="00940BA8">
              <w:t xml:space="preserve"> stage consultation with leaseholders whose homes will be included on the programme and who will subsequently be charged a proportion of the costs incurred.  Stage 1 </w:t>
            </w:r>
            <w:r w:rsidR="00C45EF1">
              <w:t>Consultation will take place as soon as Cabinet approval is granted.</w:t>
            </w:r>
          </w:p>
          <w:p w:rsidR="0054590F" w:rsidRDefault="0054590F" w:rsidP="0054590F">
            <w:pPr>
              <w:pStyle w:val="Heading4"/>
              <w:rPr>
                <w:color w:val="0000FF"/>
              </w:rPr>
            </w:pPr>
          </w:p>
          <w:p w:rsidR="00490886" w:rsidRPr="00F50AA9" w:rsidRDefault="009C3FE2" w:rsidP="00490886">
            <w:r>
              <w:t xml:space="preserve">14.4 </w:t>
            </w:r>
            <w:r w:rsidR="00490886">
              <w:t xml:space="preserve">The form of contract </w:t>
            </w:r>
            <w:r w:rsidR="002B26C6">
              <w:t xml:space="preserve">used </w:t>
            </w:r>
            <w:r w:rsidR="00490886">
              <w:t>will be the JCT Intermediate</w:t>
            </w:r>
            <w:r w:rsidR="002B26C6">
              <w:t xml:space="preserve"> Building Contract</w:t>
            </w:r>
            <w:r w:rsidR="00490886">
              <w:t xml:space="preserve"> and </w:t>
            </w:r>
            <w:r w:rsidR="002B26C6">
              <w:t>L</w:t>
            </w:r>
            <w:r w:rsidR="00490886">
              <w:t>egal services will ensure that the contract is properly executed.</w:t>
            </w:r>
          </w:p>
          <w:p w:rsidR="00490886" w:rsidRPr="006E39B5" w:rsidRDefault="00490886" w:rsidP="006E39B5"/>
          <w:p w:rsidR="00F5649A" w:rsidRPr="00F5649A" w:rsidRDefault="00F5649A" w:rsidP="00A0706F"/>
        </w:tc>
      </w:tr>
    </w:tbl>
    <w:p w:rsidR="0054590F" w:rsidRDefault="0054590F" w:rsidP="001C7E35">
      <w:pPr>
        <w:pStyle w:val="Heading4"/>
        <w:rPr>
          <w:b w:val="0"/>
        </w:rPr>
      </w:pPr>
    </w:p>
    <w:p w:rsidR="001C7E35" w:rsidRPr="001C7E35" w:rsidRDefault="001C7E35" w:rsidP="001C7E35"/>
    <w:p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9350A4" w:rsidRDefault="003D062B" w:rsidP="009350A4">
            <w:pPr>
              <w:pStyle w:val="Heading2"/>
            </w:pPr>
            <w:r>
              <w:rPr>
                <w:b w:val="0"/>
                <w:bCs w:val="0"/>
              </w:rPr>
              <w:t>15</w:t>
            </w:r>
            <w:r w:rsidR="009350A4">
              <w:rPr>
                <w:b w:val="0"/>
                <w:bCs w:val="0"/>
              </w:rPr>
              <w:t xml:space="preserve">.0 </w:t>
            </w:r>
            <w:r w:rsidR="009350A4">
              <w:t>Financial Implications</w:t>
            </w:r>
          </w:p>
          <w:p w:rsidR="00A5072F" w:rsidRDefault="00A5072F" w:rsidP="009350A4"/>
          <w:p w:rsidR="009350A4" w:rsidRPr="00940BA8" w:rsidRDefault="003D062B" w:rsidP="009350A4">
            <w:r>
              <w:t>15</w:t>
            </w:r>
            <w:r w:rsidR="009350A4" w:rsidRPr="00940BA8">
              <w:t xml:space="preserve">.1 </w:t>
            </w:r>
            <w:r w:rsidR="009350A4">
              <w:t>Th</w:t>
            </w:r>
            <w:r w:rsidR="001928D4">
              <w:t>is</w:t>
            </w:r>
            <w:r w:rsidR="009350A4">
              <w:t xml:space="preserve"> project will </w:t>
            </w:r>
            <w:r w:rsidR="001928D4">
              <w:t>form part of the 20</w:t>
            </w:r>
            <w:r w:rsidR="00173AF4">
              <w:t>20-</w:t>
            </w:r>
            <w:r w:rsidR="001928D4">
              <w:t xml:space="preserve">21 HRA capital programme </w:t>
            </w:r>
            <w:r w:rsidR="00173AF4">
              <w:t>appearing elsewhere on this agenda</w:t>
            </w:r>
            <w:r w:rsidR="00173AF4" w:rsidRPr="00F50AA9">
              <w:t xml:space="preserve">. </w:t>
            </w:r>
            <w:r w:rsidR="00173AF4">
              <w:t xml:space="preserve"> This will be funded from HRA resources and there will be no impact on General Fund</w:t>
            </w:r>
          </w:p>
          <w:p w:rsidR="009350A4" w:rsidRDefault="009350A4" w:rsidP="009350A4"/>
          <w:p w:rsidR="001A4A1D" w:rsidRDefault="001A4A1D" w:rsidP="001A4A1D">
            <w:r>
              <w:t>As budgets for 2020-21 will not be approved by Council until 27</w:t>
            </w:r>
            <w:r w:rsidRPr="00652F25">
              <w:rPr>
                <w:vertAlign w:val="superscript"/>
              </w:rPr>
              <w:t>th</w:t>
            </w:r>
            <w:r>
              <w:t xml:space="preserve"> February 2020, final clearance to enter into contract, </w:t>
            </w:r>
            <w:r w:rsidR="003B2E4A">
              <w:t>will be granted through delegated authority once the appropriate budgets have been approved and made available.</w:t>
            </w:r>
          </w:p>
          <w:p w:rsidR="001A4A1D" w:rsidRDefault="001A4A1D" w:rsidP="001A4A1D"/>
          <w:p w:rsidR="0074360B" w:rsidRPr="00F50AA9" w:rsidRDefault="009C3FE2" w:rsidP="0074360B">
            <w:r>
              <w:t xml:space="preserve">15.2 </w:t>
            </w:r>
            <w:r w:rsidR="0074360B">
              <w:t xml:space="preserve">Assuming no contract expenditure will be incurred clearance granted to seek quotations for works and commence </w:t>
            </w:r>
            <w:r w:rsidR="0058362C">
              <w:t>S</w:t>
            </w:r>
            <w:r w:rsidR="0074360B">
              <w:t>ection 20 consultation process.</w:t>
            </w:r>
          </w:p>
          <w:p w:rsidR="0054590F" w:rsidRDefault="0054590F" w:rsidP="00A5072F">
            <w:pPr>
              <w:autoSpaceDE w:val="0"/>
              <w:autoSpaceDN w:val="0"/>
              <w:adjustRightInd w:val="0"/>
            </w:pPr>
          </w:p>
        </w:tc>
      </w:tr>
    </w:tbl>
    <w:p w:rsidR="0054590F" w:rsidRDefault="0054590F" w:rsidP="001966D7"/>
    <w:p w:rsidR="009350A4" w:rsidRPr="00303FD6" w:rsidRDefault="003D062B" w:rsidP="009350A4">
      <w:pPr>
        <w:pStyle w:val="Heading2"/>
        <w:keepNext/>
        <w:rPr>
          <w:color w:val="FF0000"/>
        </w:rPr>
      </w:pPr>
      <w:r>
        <w:lastRenderedPageBreak/>
        <w:t>16</w:t>
      </w:r>
      <w:r w:rsidR="009350A4">
        <w:t>.0</w:t>
      </w:r>
      <w:r w:rsidR="00EE4A18">
        <w:tab/>
      </w:r>
      <w:r w:rsidR="009350A4" w:rsidRPr="004A2543">
        <w:t>Equalities implications</w:t>
      </w:r>
      <w:r w:rsidR="009350A4">
        <w:t xml:space="preserve"> </w:t>
      </w:r>
      <w:r w:rsidR="009350A4" w:rsidRPr="00333FAA">
        <w:t>/</w:t>
      </w:r>
      <w:r w:rsidR="009350A4">
        <w:t xml:space="preserve"> </w:t>
      </w:r>
      <w:r w:rsidR="009350A4" w:rsidRPr="00333FAA">
        <w:t>Public Sector Equality Duty</w:t>
      </w:r>
    </w:p>
    <w:p w:rsidR="009350A4" w:rsidRDefault="009350A4" w:rsidP="009350A4"/>
    <w:p w:rsidR="009350A4" w:rsidRPr="001C500E" w:rsidRDefault="003D062B" w:rsidP="00EE4A18">
      <w:pPr>
        <w:ind w:left="720" w:hanging="720"/>
      </w:pPr>
      <w:r>
        <w:t>16</w:t>
      </w:r>
      <w:r w:rsidR="009350A4" w:rsidRPr="001C500E">
        <w:t xml:space="preserve">.1 </w:t>
      </w:r>
      <w:r w:rsidR="00EE4A18">
        <w:tab/>
      </w:r>
      <w:r w:rsidR="009350A4" w:rsidRPr="001C500E">
        <w:t>The procurement exercise is designed to deliver existing policies and strategies maintaining the current level of equality in service provision. The project will be very clear on the equalities related duties on contractors, given the wide range of needs of our customers.</w:t>
      </w:r>
    </w:p>
    <w:p w:rsidR="009350A4" w:rsidRPr="001C500E" w:rsidRDefault="009350A4" w:rsidP="009350A4"/>
    <w:p w:rsidR="00FE17E2" w:rsidRDefault="003D062B" w:rsidP="00EE4A18">
      <w:pPr>
        <w:ind w:left="720" w:hanging="720"/>
      </w:pPr>
      <w:r>
        <w:t>16</w:t>
      </w:r>
      <w:r w:rsidR="009350A4" w:rsidRPr="001C500E">
        <w:t xml:space="preserve">.2 </w:t>
      </w:r>
      <w:r w:rsidR="00EE4A18">
        <w:tab/>
      </w:r>
      <w:r w:rsidR="009350A4" w:rsidRPr="001C500E">
        <w:t>An initial Equality Impact Assessment has been prepared for the delivery of the overall Housing Capital Programme</w:t>
      </w:r>
      <w:r w:rsidR="009350A4" w:rsidRPr="001C500E">
        <w:rPr>
          <w:color w:val="000000"/>
        </w:rPr>
        <w:t>.</w:t>
      </w:r>
      <w:r w:rsidR="009350A4" w:rsidRPr="001C500E">
        <w:t xml:space="preserve"> This identified no need for a full assessment at this stage because it did not identify any potential for unlawful conduct or disproportionate impact. All opportunities to address diversity, particularly vulnerability for all tenants and leaseholders will be addressed through the contract </w:t>
      </w:r>
      <w:r w:rsidR="009350A4" w:rsidRPr="001C500E">
        <w:rPr>
          <w:color w:val="000000"/>
        </w:rPr>
        <w:t>specification and ensure residents receive the same service regardless of, but taking into account specific needs. We will address these in our tendering documents and processes. The</w:t>
      </w:r>
      <w:r w:rsidR="009350A4" w:rsidRPr="001C500E">
        <w:t xml:space="preserve"> assessment will be updated as the project moves forward.</w:t>
      </w:r>
      <w:r w:rsidR="009350A4">
        <w:t xml:space="preserve"> </w:t>
      </w:r>
    </w:p>
    <w:p w:rsidR="000873B0" w:rsidRDefault="000873B0" w:rsidP="00EE4A18">
      <w:pPr>
        <w:ind w:left="720" w:hanging="720"/>
      </w:pPr>
      <w:r>
        <w:tab/>
      </w:r>
    </w:p>
    <w:p w:rsidR="000873B0" w:rsidRDefault="000873B0" w:rsidP="00EE4A18">
      <w:pPr>
        <w:ind w:left="720" w:hanging="720"/>
      </w:pPr>
      <w:r>
        <w:tab/>
      </w:r>
      <w:r w:rsidRPr="000873B0">
        <w:t>In order to enable appropriate fire safety measure</w:t>
      </w:r>
      <w:r>
        <w:t>s</w:t>
      </w:r>
      <w:r w:rsidRPr="000873B0">
        <w:t xml:space="preserve"> for the hard of hearing we will dedicate an RLO resource to liaise with relevant residents on a case by case basis and working closely with resident services, we will install appropriate solutions for these </w:t>
      </w:r>
      <w:r>
        <w:t xml:space="preserve">particularly vulnerable </w:t>
      </w:r>
      <w:r w:rsidRPr="000873B0">
        <w:t>residents.</w:t>
      </w:r>
    </w:p>
    <w:p w:rsidR="00597B28" w:rsidRDefault="00597B28" w:rsidP="001966D7"/>
    <w:p w:rsidR="00597B28" w:rsidRPr="009117F2" w:rsidRDefault="003D062B" w:rsidP="00597B28">
      <w:pPr>
        <w:rPr>
          <w:b/>
          <w:sz w:val="28"/>
          <w:szCs w:val="28"/>
        </w:rPr>
      </w:pPr>
      <w:r>
        <w:rPr>
          <w:b/>
          <w:sz w:val="28"/>
          <w:szCs w:val="28"/>
        </w:rPr>
        <w:t>17</w:t>
      </w:r>
      <w:r w:rsidR="00597B28">
        <w:rPr>
          <w:b/>
          <w:sz w:val="28"/>
          <w:szCs w:val="28"/>
        </w:rPr>
        <w:t xml:space="preserve">.0 </w:t>
      </w:r>
      <w:r w:rsidR="00EE4A18">
        <w:rPr>
          <w:b/>
          <w:sz w:val="28"/>
          <w:szCs w:val="28"/>
        </w:rPr>
        <w:tab/>
      </w:r>
      <w:r w:rsidR="00597B28">
        <w:rPr>
          <w:b/>
          <w:sz w:val="28"/>
          <w:szCs w:val="28"/>
        </w:rPr>
        <w:t xml:space="preserve">Council </w:t>
      </w:r>
      <w:r w:rsidR="00597B28" w:rsidRPr="009117F2">
        <w:rPr>
          <w:b/>
          <w:sz w:val="28"/>
          <w:szCs w:val="28"/>
        </w:rPr>
        <w:t>Priorities</w:t>
      </w:r>
    </w:p>
    <w:p w:rsidR="00597B28" w:rsidRDefault="00597B28" w:rsidP="00597B28"/>
    <w:p w:rsidR="006319FD" w:rsidRPr="00CD57D8" w:rsidRDefault="003D062B" w:rsidP="00EE4A18">
      <w:pPr>
        <w:ind w:left="720" w:hanging="720"/>
        <w:rPr>
          <w:rFonts w:cs="Arial"/>
          <w:szCs w:val="24"/>
          <w:lang w:val="en-US"/>
        </w:rPr>
      </w:pPr>
      <w:r>
        <w:rPr>
          <w:rFonts w:cs="Arial"/>
          <w:szCs w:val="24"/>
        </w:rPr>
        <w:t xml:space="preserve">17.1 </w:t>
      </w:r>
      <w:r w:rsidR="00EE4A18">
        <w:rPr>
          <w:rFonts w:cs="Arial"/>
          <w:szCs w:val="24"/>
        </w:rPr>
        <w:tab/>
      </w:r>
      <w:r w:rsidR="009C3FE2">
        <w:rPr>
          <w:rFonts w:cs="Arial"/>
          <w:szCs w:val="24"/>
        </w:rPr>
        <w:t xml:space="preserve">Below </w:t>
      </w:r>
      <w:proofErr w:type="gramStart"/>
      <w:r>
        <w:rPr>
          <w:rFonts w:cs="Arial"/>
          <w:szCs w:val="24"/>
          <w:lang w:val="en-US"/>
        </w:rPr>
        <w:t>we</w:t>
      </w:r>
      <w:proofErr w:type="gramEnd"/>
      <w:r>
        <w:rPr>
          <w:rFonts w:cs="Arial"/>
          <w:szCs w:val="24"/>
          <w:lang w:val="en-US"/>
        </w:rPr>
        <w:t xml:space="preserve"> have identified </w:t>
      </w:r>
      <w:r w:rsidRPr="00CD57D8">
        <w:rPr>
          <w:rFonts w:cs="Arial"/>
          <w:szCs w:val="24"/>
          <w:lang w:val="en-US"/>
        </w:rPr>
        <w:t>how</w:t>
      </w:r>
      <w:r w:rsidR="006319FD" w:rsidRPr="00CD57D8">
        <w:rPr>
          <w:rFonts w:cs="Arial"/>
          <w:szCs w:val="24"/>
          <w:lang w:val="en-US"/>
        </w:rPr>
        <w:t xml:space="preserve"> the </w:t>
      </w:r>
      <w:r w:rsidR="006319FD">
        <w:rPr>
          <w:rFonts w:cs="Arial"/>
          <w:szCs w:val="24"/>
          <w:lang w:val="en-US"/>
        </w:rPr>
        <w:t xml:space="preserve">decision sought </w:t>
      </w:r>
      <w:r>
        <w:rPr>
          <w:rFonts w:cs="Arial"/>
          <w:szCs w:val="24"/>
          <w:lang w:val="en-US"/>
        </w:rPr>
        <w:t>will deliver on some of the Council’s priorities:-</w:t>
      </w:r>
      <w:r w:rsidR="006319FD" w:rsidRPr="00CD57D8">
        <w:rPr>
          <w:rFonts w:cs="Arial"/>
          <w:szCs w:val="24"/>
          <w:lang w:val="en-US"/>
        </w:rPr>
        <w:t xml:space="preserve"> </w:t>
      </w:r>
    </w:p>
    <w:p w:rsidR="006319FD" w:rsidRDefault="006319FD" w:rsidP="006319FD"/>
    <w:p w:rsidR="006319FD" w:rsidRPr="003D062B" w:rsidRDefault="006319FD" w:rsidP="003D062B">
      <w:pPr>
        <w:autoSpaceDE w:val="0"/>
        <w:autoSpaceDN w:val="0"/>
        <w:contextualSpacing/>
        <w:rPr>
          <w:b/>
          <w:bCs/>
        </w:rPr>
      </w:pPr>
      <w:r w:rsidRPr="003D062B">
        <w:rPr>
          <w:b/>
          <w:bCs/>
        </w:rPr>
        <w:t>Building a Better Harrow</w:t>
      </w:r>
    </w:p>
    <w:p w:rsidR="003D062B" w:rsidRDefault="003D062B" w:rsidP="003D062B">
      <w:pPr>
        <w:pStyle w:val="ListParagraph"/>
        <w:numPr>
          <w:ilvl w:val="0"/>
          <w:numId w:val="25"/>
        </w:numPr>
        <w:autoSpaceDE w:val="0"/>
        <w:autoSpaceDN w:val="0"/>
      </w:pPr>
      <w:r w:rsidRPr="001C500E">
        <w:t>Specifications for all contracts will ensure that the successful contractor is equipped to provide a high level of customer service to all our residents</w:t>
      </w:r>
      <w:r w:rsidRPr="003D062B">
        <w:t xml:space="preserve">. </w:t>
      </w:r>
    </w:p>
    <w:p w:rsidR="003D062B" w:rsidRDefault="003D062B" w:rsidP="003D062B">
      <w:pPr>
        <w:autoSpaceDE w:val="0"/>
        <w:autoSpaceDN w:val="0"/>
      </w:pPr>
    </w:p>
    <w:p w:rsidR="003D062B" w:rsidRDefault="003D062B" w:rsidP="003D062B">
      <w:pPr>
        <w:pStyle w:val="ListParagraph"/>
        <w:numPr>
          <w:ilvl w:val="0"/>
          <w:numId w:val="25"/>
        </w:numPr>
        <w:autoSpaceDE w:val="0"/>
        <w:autoSpaceDN w:val="0"/>
      </w:pPr>
      <w:r w:rsidRPr="003D062B">
        <w:t>In addition every effort will be made to ensure that local businesses are encouraged to submit tenders and that</w:t>
      </w:r>
      <w:r w:rsidRPr="001C500E">
        <w:t xml:space="preserve"> added social value to support communities will be a part of the evaluation process. </w:t>
      </w:r>
      <w:r w:rsidRPr="003D062B">
        <w:t xml:space="preserve"> </w:t>
      </w:r>
    </w:p>
    <w:p w:rsidR="006319FD" w:rsidRDefault="006319FD" w:rsidP="006319FD">
      <w:pPr>
        <w:autoSpaceDE w:val="0"/>
        <w:autoSpaceDN w:val="0"/>
        <w:rPr>
          <w:b/>
          <w:bCs/>
        </w:rPr>
      </w:pPr>
    </w:p>
    <w:p w:rsidR="003D062B" w:rsidRDefault="006319FD" w:rsidP="006319FD">
      <w:pPr>
        <w:autoSpaceDE w:val="0"/>
        <w:autoSpaceDN w:val="0"/>
        <w:contextualSpacing/>
        <w:rPr>
          <w:b/>
          <w:bCs/>
        </w:rPr>
      </w:pPr>
      <w:r>
        <w:rPr>
          <w:b/>
          <w:bCs/>
        </w:rPr>
        <w:t>Supporting Those Most in Need</w:t>
      </w:r>
    </w:p>
    <w:p w:rsidR="003D062B" w:rsidRPr="003D062B" w:rsidRDefault="003D062B" w:rsidP="003D062B">
      <w:pPr>
        <w:pStyle w:val="ListParagraph"/>
        <w:numPr>
          <w:ilvl w:val="0"/>
          <w:numId w:val="26"/>
        </w:numPr>
        <w:autoSpaceDE w:val="0"/>
        <w:autoSpaceDN w:val="0"/>
        <w:contextualSpacing/>
        <w:rPr>
          <w:color w:val="000000"/>
        </w:rPr>
      </w:pPr>
      <w:r w:rsidRPr="001C500E">
        <w:t>Projects on the Housing Capital Programme are provided to some of the Council’s tenants and leaseholders –many of whom are vulnerable</w:t>
      </w:r>
      <w:r w:rsidRPr="003D062B">
        <w:rPr>
          <w:color w:val="000000"/>
        </w:rPr>
        <w:t xml:space="preserve">. </w:t>
      </w:r>
    </w:p>
    <w:p w:rsidR="003D062B" w:rsidRDefault="003D062B" w:rsidP="006319FD">
      <w:pPr>
        <w:autoSpaceDE w:val="0"/>
        <w:autoSpaceDN w:val="0"/>
        <w:rPr>
          <w:color w:val="000000"/>
        </w:rPr>
      </w:pPr>
    </w:p>
    <w:p w:rsidR="006319FD" w:rsidRPr="003D062B" w:rsidRDefault="003D062B" w:rsidP="003D062B">
      <w:pPr>
        <w:pStyle w:val="ListParagraph"/>
        <w:numPr>
          <w:ilvl w:val="0"/>
          <w:numId w:val="26"/>
        </w:numPr>
        <w:autoSpaceDE w:val="0"/>
        <w:autoSpaceDN w:val="0"/>
        <w:rPr>
          <w:color w:val="000000"/>
        </w:rPr>
      </w:pPr>
      <w:r w:rsidRPr="003D062B">
        <w:rPr>
          <w:color w:val="000000"/>
        </w:rPr>
        <w:t>All are targeted to improve the quality of the housing stock and the environment in which our tenants live.</w:t>
      </w:r>
    </w:p>
    <w:p w:rsidR="003D062B" w:rsidRDefault="003D062B" w:rsidP="006319FD">
      <w:pPr>
        <w:autoSpaceDE w:val="0"/>
        <w:autoSpaceDN w:val="0"/>
        <w:rPr>
          <w:b/>
          <w:bCs/>
        </w:rPr>
      </w:pPr>
    </w:p>
    <w:p w:rsidR="006319FD" w:rsidRDefault="006319FD" w:rsidP="006319FD">
      <w:pPr>
        <w:autoSpaceDE w:val="0"/>
        <w:autoSpaceDN w:val="0"/>
      </w:pPr>
    </w:p>
    <w:p w:rsidR="003D062B" w:rsidRPr="003D062B" w:rsidRDefault="006319FD" w:rsidP="003D062B">
      <w:pPr>
        <w:autoSpaceDE w:val="0"/>
        <w:autoSpaceDN w:val="0"/>
        <w:contextualSpacing/>
        <w:rPr>
          <w:b/>
          <w:bCs/>
        </w:rPr>
      </w:pPr>
      <w:r w:rsidRPr="003D062B">
        <w:rPr>
          <w:b/>
          <w:bCs/>
        </w:rPr>
        <w:t>Delivering a Strong local Economy for All</w:t>
      </w:r>
    </w:p>
    <w:p w:rsidR="00597B28" w:rsidRPr="003D062B" w:rsidRDefault="003D062B" w:rsidP="003D062B">
      <w:pPr>
        <w:pStyle w:val="ListParagraph"/>
        <w:numPr>
          <w:ilvl w:val="0"/>
          <w:numId w:val="26"/>
        </w:numPr>
        <w:autoSpaceDE w:val="0"/>
        <w:autoSpaceDN w:val="0"/>
        <w:rPr>
          <w:color w:val="000000"/>
        </w:rPr>
      </w:pPr>
      <w:r w:rsidRPr="003D062B">
        <w:rPr>
          <w:color w:val="000000"/>
        </w:rPr>
        <w:t>The London Borough of Harrow recognises the importance of employing local people to provide local labour, and also key opportunities for apprenticeship schemes.</w:t>
      </w:r>
    </w:p>
    <w:p w:rsidR="00307F76" w:rsidRPr="00F22C98" w:rsidRDefault="00307F76" w:rsidP="00307F76"/>
    <w:p w:rsidR="00307F76" w:rsidRPr="00F22C98" w:rsidRDefault="00307F76" w:rsidP="00307F76">
      <w:pPr>
        <w:rPr>
          <w:rFonts w:cs="Arial"/>
        </w:rPr>
      </w:pPr>
    </w:p>
    <w:p w:rsidR="00333FAA" w:rsidRDefault="00333FAA" w:rsidP="00333FAA">
      <w:pPr>
        <w:pStyle w:val="Heading1"/>
        <w:keepNext/>
      </w:pPr>
      <w:r>
        <w:lastRenderedPageBreak/>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379"/>
        <w:gridCol w:w="234"/>
        <w:gridCol w:w="3576"/>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49293D">
            <w:pPr>
              <w:pStyle w:val="Infotext"/>
            </w:pPr>
            <w:r>
              <w:t>Name:</w:t>
            </w:r>
            <w:r w:rsidR="00DB6C3D">
              <w:t xml:space="preserve"> </w:t>
            </w:r>
            <w:r w:rsidR="00A20D78">
              <w:t xml:space="preserve"> </w:t>
            </w:r>
            <w:r w:rsidR="0049293D" w:rsidRPr="003E23C9">
              <w:t>Tasleem Kazmi</w:t>
            </w:r>
          </w:p>
        </w:tc>
        <w:tc>
          <w:tcPr>
            <w:tcW w:w="387" w:type="dxa"/>
            <w:tcBorders>
              <w:bottom w:val="single" w:sz="4" w:space="0" w:color="auto"/>
            </w:tcBorders>
          </w:tcPr>
          <w:p w:rsidR="00333FAA" w:rsidRDefault="0049293D" w:rsidP="00A53B04">
            <w:pPr>
              <w:pStyle w:val="Infotext"/>
            </w:pPr>
            <w: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49293D">
              <w:t>03/12/2019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2B26C6">
            <w:pPr>
              <w:pStyle w:val="Infotext"/>
            </w:pPr>
            <w:r>
              <w:t xml:space="preserve">Name: </w:t>
            </w:r>
            <w:r w:rsidR="00A20D78">
              <w:t xml:space="preserve"> </w:t>
            </w:r>
            <w:r w:rsidR="002B26C6">
              <w:t xml:space="preserve">Sarah </w:t>
            </w:r>
            <w:proofErr w:type="spellStart"/>
            <w:r w:rsidR="002B26C6">
              <w:t>Inverary</w:t>
            </w:r>
            <w:proofErr w:type="spellEnd"/>
          </w:p>
        </w:tc>
        <w:tc>
          <w:tcPr>
            <w:tcW w:w="387" w:type="dxa"/>
            <w:tcBorders>
              <w:bottom w:val="single" w:sz="4" w:space="0" w:color="auto"/>
            </w:tcBorders>
          </w:tcPr>
          <w:p w:rsidR="00333FAA" w:rsidRDefault="00A0706F" w:rsidP="00A53B04">
            <w:pPr>
              <w:pStyle w:val="Infotext"/>
            </w:pPr>
            <w: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A0706F">
              <w:t>17/12/2019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378"/>
        <w:gridCol w:w="234"/>
        <w:gridCol w:w="3600"/>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4809FA">
        <w:tc>
          <w:tcPr>
            <w:tcW w:w="4752" w:type="dxa"/>
            <w:tcBorders>
              <w:top w:val="nil"/>
              <w:bottom w:val="nil"/>
            </w:tcBorders>
          </w:tcPr>
          <w:p w:rsidR="00321FBB" w:rsidRDefault="00321FBB" w:rsidP="005A5197">
            <w:pPr>
              <w:pStyle w:val="Infotext"/>
            </w:pPr>
            <w:r>
              <w:t xml:space="preserve">Name: </w:t>
            </w:r>
            <w:r w:rsidR="00A20D78">
              <w:t xml:space="preserve"> </w:t>
            </w:r>
            <w:r w:rsidR="005A5197">
              <w:t>Lisa Taylor</w:t>
            </w:r>
          </w:p>
        </w:tc>
        <w:tc>
          <w:tcPr>
            <w:tcW w:w="387" w:type="dxa"/>
            <w:tcBorders>
              <w:bottom w:val="single" w:sz="4" w:space="0" w:color="auto"/>
            </w:tcBorders>
          </w:tcPr>
          <w:p w:rsidR="00321FBB" w:rsidRDefault="003E23C9" w:rsidP="004809FA">
            <w:pPr>
              <w:pStyle w:val="Infotext"/>
            </w:pPr>
            <w:r>
              <w:t>*</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p w:rsidR="00B233ED" w:rsidRDefault="00B233ED" w:rsidP="007116B1">
            <w:pPr>
              <w:pStyle w:val="Infotext"/>
            </w:pPr>
            <w:r>
              <w:t>Nimesh Mehta</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5A5197">
              <w:t>13/12/2019</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8"/>
        <w:gridCol w:w="234"/>
        <w:gridCol w:w="3603"/>
      </w:tblGrid>
      <w:tr w:rsidR="00435B5D" w:rsidTr="00FE3FEB">
        <w:tc>
          <w:tcPr>
            <w:tcW w:w="4320" w:type="dxa"/>
            <w:tcBorders>
              <w:bottom w:val="nil"/>
              <w:right w:val="nil"/>
            </w:tcBorders>
          </w:tcPr>
          <w:p w:rsidR="00435B5D" w:rsidRDefault="00435B5D" w:rsidP="004F54BD">
            <w:pPr>
              <w:pStyle w:val="Infotext"/>
            </w:pPr>
          </w:p>
          <w:p w:rsidR="00435B5D" w:rsidRDefault="00435B5D" w:rsidP="004F54BD">
            <w:pPr>
              <w:pStyle w:val="Infotext"/>
            </w:pPr>
          </w:p>
        </w:tc>
        <w:tc>
          <w:tcPr>
            <w:tcW w:w="368"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603"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FE3FEB">
        <w:tc>
          <w:tcPr>
            <w:tcW w:w="4320" w:type="dxa"/>
            <w:tcBorders>
              <w:top w:val="nil"/>
              <w:bottom w:val="nil"/>
            </w:tcBorders>
          </w:tcPr>
          <w:p w:rsidR="00435B5D" w:rsidRDefault="00435B5D" w:rsidP="00141EBC">
            <w:pPr>
              <w:pStyle w:val="Infotext"/>
            </w:pPr>
            <w:r>
              <w:t xml:space="preserve">Name: </w:t>
            </w:r>
            <w:r w:rsidR="00A20D78">
              <w:t xml:space="preserve"> </w:t>
            </w:r>
            <w:r w:rsidR="00141EBC" w:rsidRPr="003E23C9">
              <w:t>Paul Walker</w:t>
            </w:r>
          </w:p>
        </w:tc>
        <w:tc>
          <w:tcPr>
            <w:tcW w:w="368" w:type="dxa"/>
            <w:tcBorders>
              <w:bottom w:val="single" w:sz="4" w:space="0" w:color="auto"/>
            </w:tcBorders>
          </w:tcPr>
          <w:p w:rsidR="00435B5D" w:rsidRDefault="006516B7" w:rsidP="004F54BD">
            <w:pPr>
              <w:pStyle w:val="Infotext"/>
            </w:pPr>
            <w:r>
              <w:t>x</w:t>
            </w:r>
          </w:p>
        </w:tc>
        <w:tc>
          <w:tcPr>
            <w:tcW w:w="234" w:type="dxa"/>
            <w:tcBorders>
              <w:top w:val="nil"/>
              <w:bottom w:val="nil"/>
              <w:right w:val="nil"/>
            </w:tcBorders>
          </w:tcPr>
          <w:p w:rsidR="00435B5D" w:rsidRDefault="00435B5D" w:rsidP="004F54BD">
            <w:pPr>
              <w:pStyle w:val="Infotext"/>
            </w:pPr>
          </w:p>
        </w:tc>
        <w:tc>
          <w:tcPr>
            <w:tcW w:w="3603" w:type="dxa"/>
            <w:tcBorders>
              <w:top w:val="nil"/>
              <w:left w:val="nil"/>
              <w:bottom w:val="nil"/>
            </w:tcBorders>
          </w:tcPr>
          <w:p w:rsidR="00435B5D" w:rsidRDefault="00435B5D" w:rsidP="004F54BD">
            <w:pPr>
              <w:pStyle w:val="Infotext"/>
            </w:pPr>
            <w:r>
              <w:t>Corporate Director</w:t>
            </w:r>
          </w:p>
        </w:tc>
      </w:tr>
      <w:tr w:rsidR="00435B5D" w:rsidTr="00FE3FEB">
        <w:tc>
          <w:tcPr>
            <w:tcW w:w="4320"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6516B7">
              <w:t>20/12/2019</w:t>
            </w:r>
          </w:p>
        </w:tc>
        <w:tc>
          <w:tcPr>
            <w:tcW w:w="368"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603" w:type="dxa"/>
            <w:tcBorders>
              <w:top w:val="nil"/>
              <w:left w:val="nil"/>
            </w:tcBorders>
          </w:tcPr>
          <w:p w:rsidR="00435B5D" w:rsidRDefault="00435B5D" w:rsidP="004F54BD">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597B28" w:rsidRDefault="00597B28" w:rsidP="00597B28">
            <w:pPr>
              <w:pStyle w:val="Infotext"/>
              <w:spacing w:before="120"/>
              <w:rPr>
                <w:i/>
                <w:sz w:val="24"/>
                <w:szCs w:val="24"/>
              </w:rPr>
            </w:pPr>
            <w:r w:rsidRPr="00A406F3">
              <w:rPr>
                <w:b/>
              </w:rPr>
              <w:t>YES</w:t>
            </w:r>
            <w:r>
              <w:rPr>
                <w:b/>
              </w:rPr>
              <w:t xml:space="preserve"> – will be consulted through future consultation</w:t>
            </w:r>
          </w:p>
          <w:p w:rsidR="00333FAA" w:rsidRPr="003D78F6" w:rsidRDefault="00333FAA" w:rsidP="00597B28">
            <w:pPr>
              <w:pStyle w:val="Infotext"/>
              <w:rPr>
                <w:i/>
                <w:sz w:val="24"/>
                <w:szCs w:val="24"/>
              </w:rPr>
            </w:pPr>
          </w:p>
        </w:tc>
      </w:tr>
      <w:tr w:rsidR="00333FAA" w:rsidRPr="00303FD6">
        <w:trPr>
          <w:trHeight w:val="965"/>
        </w:trPr>
        <w:tc>
          <w:tcPr>
            <w:tcW w:w="3025" w:type="pct"/>
            <w:tcBorders>
              <w:right w:val="nil"/>
            </w:tcBorders>
          </w:tcPr>
          <w:p w:rsidR="00DF1057" w:rsidRDefault="00DF1057"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r w:rsidRPr="00202D79">
              <w:rPr>
                <w:rFonts w:ascii="Arial Black" w:hAnsi="Arial Black"/>
              </w:rPr>
              <w:t>EqIA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rsidR="00333FAA" w:rsidRDefault="00333FAA" w:rsidP="00A53B04">
            <w:pPr>
              <w:pStyle w:val="Infotext"/>
              <w:rPr>
                <w:b/>
                <w:color w:val="FF0000"/>
              </w:rPr>
            </w:pPr>
          </w:p>
          <w:p w:rsidR="00333FAA" w:rsidRPr="00202D79" w:rsidRDefault="00333FAA" w:rsidP="00A53B04">
            <w:pPr>
              <w:pStyle w:val="Infotext"/>
              <w:rPr>
                <w:b/>
              </w:rPr>
            </w:pPr>
            <w:r w:rsidRPr="00202D79">
              <w:rPr>
                <w:b/>
              </w:rPr>
              <w:t>YES</w:t>
            </w:r>
          </w:p>
          <w:p w:rsidR="00333FAA" w:rsidRPr="00303FD6" w:rsidRDefault="00333FAA" w:rsidP="00A53B04">
            <w:pPr>
              <w:pStyle w:val="Infotext"/>
              <w:rPr>
                <w:b/>
                <w:color w:val="FF0000"/>
              </w:rPr>
            </w:pPr>
          </w:p>
          <w:p w:rsidR="00333FAA" w:rsidRPr="00303FD6" w:rsidRDefault="00597B28" w:rsidP="00A53B04">
            <w:pPr>
              <w:pStyle w:val="Infotext"/>
              <w:rPr>
                <w:color w:val="FF0000"/>
              </w:rPr>
            </w:pPr>
            <w:r w:rsidRPr="00DB2A41">
              <w:t>An overarching EQIA was undertaken for the programme</w:t>
            </w:r>
            <w:r>
              <w:t xml:space="preserve"> and was cleared previously</w:t>
            </w:r>
            <w:r w:rsidRPr="00DB2A41">
              <w:t>.</w:t>
            </w:r>
          </w:p>
        </w:tc>
      </w:tr>
    </w:tbl>
    <w:p w:rsidR="00333FAA" w:rsidRDefault="00333FAA" w:rsidP="00333FAA"/>
    <w:p w:rsidR="002548D1" w:rsidRDefault="002548D1"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597B28" w:rsidRDefault="00597B28" w:rsidP="00597B28">
      <w:pPr>
        <w:pStyle w:val="Infotext"/>
      </w:pPr>
      <w:r w:rsidRPr="004E47FC">
        <w:rPr>
          <w:b/>
        </w:rPr>
        <w:t xml:space="preserve">Contact:  </w:t>
      </w:r>
      <w:r>
        <w:rPr>
          <w:b/>
        </w:rPr>
        <w:t xml:space="preserve"> </w:t>
      </w:r>
      <w:r>
        <w:t>Andrew Campion</w:t>
      </w:r>
      <w:r w:rsidRPr="00D8708C">
        <w:t xml:space="preserve">, </w:t>
      </w:r>
    </w:p>
    <w:p w:rsidR="00597B28" w:rsidRPr="00D8708C" w:rsidRDefault="00597B28" w:rsidP="00597B28">
      <w:pPr>
        <w:pStyle w:val="Infotext"/>
        <w:ind w:firstLine="720"/>
      </w:pPr>
      <w:r>
        <w:t xml:space="preserve">        </w:t>
      </w:r>
      <w:r w:rsidRPr="00D8708C">
        <w:t>Head of Asset Management</w:t>
      </w:r>
    </w:p>
    <w:p w:rsidR="00597B28" w:rsidRDefault="00597B28" w:rsidP="00597B28">
      <w:pPr>
        <w:pStyle w:val="Infotext"/>
        <w:ind w:firstLine="720"/>
        <w:rPr>
          <w:lang w:val="en"/>
        </w:rPr>
      </w:pPr>
      <w:r>
        <w:t xml:space="preserve">        </w:t>
      </w:r>
      <w:r>
        <w:rPr>
          <w:lang w:val="en"/>
        </w:rPr>
        <w:t>0208 424 1339</w:t>
      </w:r>
    </w:p>
    <w:p w:rsidR="00597B28" w:rsidRPr="00D8708C" w:rsidRDefault="00597B28" w:rsidP="00597B28">
      <w:pPr>
        <w:pStyle w:val="Infotext"/>
        <w:ind w:firstLine="720"/>
      </w:pPr>
      <w:r>
        <w:rPr>
          <w:lang w:val="en"/>
        </w:rPr>
        <w:tab/>
      </w:r>
      <w:hyperlink r:id="rId15" w:history="1">
        <w:r w:rsidRPr="00582402">
          <w:rPr>
            <w:rStyle w:val="Hyperlink"/>
            <w:lang w:val="en"/>
          </w:rPr>
          <w:t>Andrew.Campion@harrow.gov.uk</w:t>
        </w:r>
      </w:hyperlink>
      <w:r>
        <w:rPr>
          <w:lang w:val="en"/>
        </w:rPr>
        <w:t xml:space="preserve"> </w:t>
      </w:r>
    </w:p>
    <w:p w:rsidR="00333FAA" w:rsidRDefault="00333FAA" w:rsidP="00597B28">
      <w:pPr>
        <w:pStyle w:val="Infotext"/>
      </w:pPr>
    </w:p>
    <w:p w:rsidR="005718B5" w:rsidRPr="006E28F7" w:rsidRDefault="00333FAA" w:rsidP="001A3BB0">
      <w:pPr>
        <w:pStyle w:val="Infotext"/>
        <w:rPr>
          <w:rFonts w:ascii="Calibri" w:hAnsi="Calibri"/>
          <w:szCs w:val="24"/>
          <w:lang w:eastAsia="en-GB"/>
        </w:rPr>
      </w:pPr>
      <w:r w:rsidRPr="004E47FC">
        <w:rPr>
          <w:b/>
        </w:rPr>
        <w:t xml:space="preserve">Background Papers: </w:t>
      </w:r>
      <w:r w:rsidR="005808FB">
        <w:rPr>
          <w:b/>
        </w:rPr>
        <w:t xml:space="preserve"> </w:t>
      </w:r>
      <w:bookmarkStart w:id="0" w:name="_GoBack"/>
      <w:bookmarkEnd w:id="0"/>
      <w:r w:rsidR="006E28F7" w:rsidRPr="006E28F7">
        <w:rPr>
          <w:rFonts w:cs="Arial"/>
          <w:iCs/>
          <w:szCs w:val="24"/>
          <w:lang w:eastAsia="en-GB"/>
        </w:rPr>
        <w:t>None</w:t>
      </w:r>
      <w:r w:rsidR="005718B5" w:rsidRPr="006E28F7">
        <w:rPr>
          <w:rFonts w:cs="Arial"/>
          <w:iCs/>
          <w:szCs w:val="24"/>
          <w:lang w:eastAsia="en-GB"/>
        </w:rPr>
        <w:t xml:space="preserve"> </w:t>
      </w: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1A3BB0">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D73A08" w:rsidRDefault="00D73A08" w:rsidP="003E23C9">
      <w:pPr>
        <w:pStyle w:val="GuideBodyText"/>
        <w:tabs>
          <w:tab w:val="left" w:pos="1134"/>
        </w:tabs>
        <w:rPr>
          <w:rFonts w:cs="Arial"/>
        </w:rPr>
      </w:pPr>
      <w:bookmarkStart w:id="1" w:name="_Additional_Information_2"/>
      <w:bookmarkEnd w:id="1"/>
    </w:p>
    <w:p w:rsidR="00FA1402" w:rsidRPr="009E4933" w:rsidRDefault="00FA1402" w:rsidP="009E4933">
      <w:pPr>
        <w:spacing w:after="40"/>
        <w:jc w:val="both"/>
        <w:rPr>
          <w:rFonts w:cs="Arial"/>
          <w:color w:val="FF0000"/>
          <w:sz w:val="16"/>
          <w:szCs w:val="16"/>
        </w:rPr>
      </w:pPr>
    </w:p>
    <w:sectPr w:rsidR="00FA1402" w:rsidRPr="009E493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1D" w:rsidRDefault="001A4A1D">
      <w:r>
        <w:separator/>
      </w:r>
    </w:p>
  </w:endnote>
  <w:endnote w:type="continuationSeparator" w:id="0">
    <w:p w:rsidR="001A4A1D" w:rsidRDefault="001A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1D" w:rsidRDefault="001A4A1D">
      <w:r>
        <w:separator/>
      </w:r>
    </w:p>
  </w:footnote>
  <w:footnote w:type="continuationSeparator" w:id="0">
    <w:p w:rsidR="001A4A1D" w:rsidRDefault="001A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13D"/>
    <w:multiLevelType w:val="multilevel"/>
    <w:tmpl w:val="2DFEDE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71751C"/>
    <w:multiLevelType w:val="hybridMultilevel"/>
    <w:tmpl w:val="F970D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A0AA6"/>
    <w:multiLevelType w:val="multilevel"/>
    <w:tmpl w:val="876491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E79F9"/>
    <w:multiLevelType w:val="multilevel"/>
    <w:tmpl w:val="969C7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27470"/>
    <w:multiLevelType w:val="hybridMultilevel"/>
    <w:tmpl w:val="8E12C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172FC"/>
    <w:multiLevelType w:val="hybridMultilevel"/>
    <w:tmpl w:val="DF6CF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45D7032E"/>
    <w:multiLevelType w:val="multilevel"/>
    <w:tmpl w:val="709C9C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7845AA"/>
    <w:multiLevelType w:val="multilevel"/>
    <w:tmpl w:val="BCDA8FC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D0453D4"/>
    <w:multiLevelType w:val="hybridMultilevel"/>
    <w:tmpl w:val="61242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A00E1A"/>
    <w:multiLevelType w:val="hybridMultilevel"/>
    <w:tmpl w:val="17A67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AA71EA"/>
    <w:multiLevelType w:val="hybridMultilevel"/>
    <w:tmpl w:val="FA60FB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EA04660"/>
    <w:multiLevelType w:val="hybridMultilevel"/>
    <w:tmpl w:val="312A9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0D84DD1"/>
    <w:multiLevelType w:val="hybridMultilevel"/>
    <w:tmpl w:val="0FD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50280"/>
    <w:multiLevelType w:val="hybridMultilevel"/>
    <w:tmpl w:val="275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F45C5C"/>
    <w:multiLevelType w:val="multilevel"/>
    <w:tmpl w:val="E77AF53E"/>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7C162F57"/>
    <w:multiLevelType w:val="hybridMultilevel"/>
    <w:tmpl w:val="CD585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9"/>
  </w:num>
  <w:num w:numId="6">
    <w:abstractNumId w:val="18"/>
  </w:num>
  <w:num w:numId="7">
    <w:abstractNumId w:val="23"/>
  </w:num>
  <w:num w:numId="8">
    <w:abstractNumId w:val="5"/>
  </w:num>
  <w:num w:numId="9">
    <w:abstractNumId w:val="22"/>
  </w:num>
  <w:num w:numId="10">
    <w:abstractNumId w:val="19"/>
  </w:num>
  <w:num w:numId="11">
    <w:abstractNumId w:val="8"/>
  </w:num>
  <w:num w:numId="12">
    <w:abstractNumId w:val="3"/>
  </w:num>
  <w:num w:numId="13">
    <w:abstractNumId w:val="1"/>
  </w:num>
  <w:num w:numId="14">
    <w:abstractNumId w:val="1"/>
  </w:num>
  <w:num w:numId="15">
    <w:abstractNumId w:val="13"/>
  </w:num>
  <w:num w:numId="16">
    <w:abstractNumId w:val="12"/>
  </w:num>
  <w:num w:numId="17">
    <w:abstractNumId w:val="14"/>
  </w:num>
  <w:num w:numId="18">
    <w:abstractNumId w:val="16"/>
  </w:num>
  <w:num w:numId="19">
    <w:abstractNumId w:val="4"/>
  </w:num>
  <w:num w:numId="20">
    <w:abstractNumId w:val="17"/>
  </w:num>
  <w:num w:numId="21">
    <w:abstractNumId w:val="24"/>
  </w:num>
  <w:num w:numId="22">
    <w:abstractNumId w:val="15"/>
  </w:num>
  <w:num w:numId="23">
    <w:abstractNumId w:val="2"/>
  </w:num>
  <w:num w:numId="24">
    <w:abstractNumId w:val="7"/>
  </w:num>
  <w:num w:numId="25">
    <w:abstractNumId w:val="2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5C55"/>
    <w:rsid w:val="000364B4"/>
    <w:rsid w:val="0004029A"/>
    <w:rsid w:val="00041D80"/>
    <w:rsid w:val="00055A4D"/>
    <w:rsid w:val="0006034E"/>
    <w:rsid w:val="000615C2"/>
    <w:rsid w:val="00063783"/>
    <w:rsid w:val="00072CFD"/>
    <w:rsid w:val="00073765"/>
    <w:rsid w:val="000873B0"/>
    <w:rsid w:val="000929A6"/>
    <w:rsid w:val="000B5015"/>
    <w:rsid w:val="000B788F"/>
    <w:rsid w:val="000C231D"/>
    <w:rsid w:val="000D1012"/>
    <w:rsid w:val="000D4E36"/>
    <w:rsid w:val="000E2D57"/>
    <w:rsid w:val="000E62FE"/>
    <w:rsid w:val="001161E4"/>
    <w:rsid w:val="00125A26"/>
    <w:rsid w:val="00131735"/>
    <w:rsid w:val="00137272"/>
    <w:rsid w:val="00141EBC"/>
    <w:rsid w:val="00145B07"/>
    <w:rsid w:val="0015376F"/>
    <w:rsid w:val="001614E0"/>
    <w:rsid w:val="00164975"/>
    <w:rsid w:val="00171BD8"/>
    <w:rsid w:val="00173AF4"/>
    <w:rsid w:val="001751DF"/>
    <w:rsid w:val="0017653E"/>
    <w:rsid w:val="00182B01"/>
    <w:rsid w:val="0018408B"/>
    <w:rsid w:val="001840D2"/>
    <w:rsid w:val="001928D4"/>
    <w:rsid w:val="001966D7"/>
    <w:rsid w:val="00196DDF"/>
    <w:rsid w:val="001A3BB0"/>
    <w:rsid w:val="001A4A1D"/>
    <w:rsid w:val="001B00F8"/>
    <w:rsid w:val="001C4D2E"/>
    <w:rsid w:val="001C7E35"/>
    <w:rsid w:val="001E1288"/>
    <w:rsid w:val="001E3C06"/>
    <w:rsid w:val="001F0037"/>
    <w:rsid w:val="001F01C6"/>
    <w:rsid w:val="001F0BE9"/>
    <w:rsid w:val="002003C3"/>
    <w:rsid w:val="00202D79"/>
    <w:rsid w:val="00205D2F"/>
    <w:rsid w:val="00215E8F"/>
    <w:rsid w:val="00216DC2"/>
    <w:rsid w:val="002322BB"/>
    <w:rsid w:val="0023472F"/>
    <w:rsid w:val="00251254"/>
    <w:rsid w:val="002548D1"/>
    <w:rsid w:val="00270A58"/>
    <w:rsid w:val="0027283B"/>
    <w:rsid w:val="0028019B"/>
    <w:rsid w:val="00283CAB"/>
    <w:rsid w:val="00284D4A"/>
    <w:rsid w:val="002865A8"/>
    <w:rsid w:val="002962CC"/>
    <w:rsid w:val="002A3FEF"/>
    <w:rsid w:val="002B26C6"/>
    <w:rsid w:val="002B54A6"/>
    <w:rsid w:val="002F34C6"/>
    <w:rsid w:val="002F3C98"/>
    <w:rsid w:val="002F3EE9"/>
    <w:rsid w:val="00307F76"/>
    <w:rsid w:val="00321A3A"/>
    <w:rsid w:val="00321FBB"/>
    <w:rsid w:val="00322068"/>
    <w:rsid w:val="00322158"/>
    <w:rsid w:val="00333FAA"/>
    <w:rsid w:val="003355D7"/>
    <w:rsid w:val="003476B1"/>
    <w:rsid w:val="0036201C"/>
    <w:rsid w:val="00364995"/>
    <w:rsid w:val="00376696"/>
    <w:rsid w:val="00376768"/>
    <w:rsid w:val="00380FF2"/>
    <w:rsid w:val="003B2E4A"/>
    <w:rsid w:val="003D062B"/>
    <w:rsid w:val="003E23C9"/>
    <w:rsid w:val="003F3AFD"/>
    <w:rsid w:val="003F6D32"/>
    <w:rsid w:val="004046D8"/>
    <w:rsid w:val="004076C8"/>
    <w:rsid w:val="004207E3"/>
    <w:rsid w:val="00420A1F"/>
    <w:rsid w:val="00421A4C"/>
    <w:rsid w:val="004238C2"/>
    <w:rsid w:val="00435B5D"/>
    <w:rsid w:val="004363F7"/>
    <w:rsid w:val="0044525C"/>
    <w:rsid w:val="004553F1"/>
    <w:rsid w:val="0046385D"/>
    <w:rsid w:val="004717E5"/>
    <w:rsid w:val="00471C1F"/>
    <w:rsid w:val="004809FA"/>
    <w:rsid w:val="00490886"/>
    <w:rsid w:val="0049293D"/>
    <w:rsid w:val="004A29F0"/>
    <w:rsid w:val="004A3A38"/>
    <w:rsid w:val="004C4A75"/>
    <w:rsid w:val="004D2DA0"/>
    <w:rsid w:val="004E14A4"/>
    <w:rsid w:val="004F092E"/>
    <w:rsid w:val="004F357D"/>
    <w:rsid w:val="004F54BD"/>
    <w:rsid w:val="004F56C5"/>
    <w:rsid w:val="005045A0"/>
    <w:rsid w:val="00506F32"/>
    <w:rsid w:val="00514305"/>
    <w:rsid w:val="00533065"/>
    <w:rsid w:val="005354D0"/>
    <w:rsid w:val="0054172C"/>
    <w:rsid w:val="0054590F"/>
    <w:rsid w:val="005459EC"/>
    <w:rsid w:val="0056020D"/>
    <w:rsid w:val="005718B5"/>
    <w:rsid w:val="005808FB"/>
    <w:rsid w:val="00582605"/>
    <w:rsid w:val="0058362C"/>
    <w:rsid w:val="00585CAF"/>
    <w:rsid w:val="00591016"/>
    <w:rsid w:val="00592C96"/>
    <w:rsid w:val="00595B3B"/>
    <w:rsid w:val="00597B28"/>
    <w:rsid w:val="005A3861"/>
    <w:rsid w:val="005A5197"/>
    <w:rsid w:val="005A559A"/>
    <w:rsid w:val="005B3F67"/>
    <w:rsid w:val="005D2397"/>
    <w:rsid w:val="005D548F"/>
    <w:rsid w:val="005D6EF5"/>
    <w:rsid w:val="005E3A10"/>
    <w:rsid w:val="005E7509"/>
    <w:rsid w:val="005F4858"/>
    <w:rsid w:val="006207F3"/>
    <w:rsid w:val="00624EAF"/>
    <w:rsid w:val="006319FD"/>
    <w:rsid w:val="00645B8B"/>
    <w:rsid w:val="006516B7"/>
    <w:rsid w:val="00655044"/>
    <w:rsid w:val="00666922"/>
    <w:rsid w:val="00670F17"/>
    <w:rsid w:val="006710C7"/>
    <w:rsid w:val="00673533"/>
    <w:rsid w:val="00695510"/>
    <w:rsid w:val="00696A83"/>
    <w:rsid w:val="006C580A"/>
    <w:rsid w:val="006D1E69"/>
    <w:rsid w:val="006E28F7"/>
    <w:rsid w:val="006E39B5"/>
    <w:rsid w:val="006F057C"/>
    <w:rsid w:val="006F22DA"/>
    <w:rsid w:val="006F2EB3"/>
    <w:rsid w:val="007116B1"/>
    <w:rsid w:val="00714BEE"/>
    <w:rsid w:val="00721215"/>
    <w:rsid w:val="007234C9"/>
    <w:rsid w:val="0072617D"/>
    <w:rsid w:val="0073390A"/>
    <w:rsid w:val="007400CF"/>
    <w:rsid w:val="0074360B"/>
    <w:rsid w:val="00761AB0"/>
    <w:rsid w:val="00764FE8"/>
    <w:rsid w:val="00773F4F"/>
    <w:rsid w:val="00782525"/>
    <w:rsid w:val="00793B84"/>
    <w:rsid w:val="007A6565"/>
    <w:rsid w:val="007B0FDE"/>
    <w:rsid w:val="007B23FC"/>
    <w:rsid w:val="007B603A"/>
    <w:rsid w:val="007B67F3"/>
    <w:rsid w:val="007C38A4"/>
    <w:rsid w:val="007D0C1D"/>
    <w:rsid w:val="007D2000"/>
    <w:rsid w:val="007D4DBF"/>
    <w:rsid w:val="007E189B"/>
    <w:rsid w:val="007E4732"/>
    <w:rsid w:val="007E4BA4"/>
    <w:rsid w:val="007F004E"/>
    <w:rsid w:val="007F335A"/>
    <w:rsid w:val="007F4C84"/>
    <w:rsid w:val="00803104"/>
    <w:rsid w:val="00812901"/>
    <w:rsid w:val="00824161"/>
    <w:rsid w:val="00826B9A"/>
    <w:rsid w:val="00835A23"/>
    <w:rsid w:val="0085266D"/>
    <w:rsid w:val="00854D8E"/>
    <w:rsid w:val="00861D89"/>
    <w:rsid w:val="008A5AA0"/>
    <w:rsid w:val="008D2B5E"/>
    <w:rsid w:val="008E224D"/>
    <w:rsid w:val="00924741"/>
    <w:rsid w:val="0092530B"/>
    <w:rsid w:val="00932D66"/>
    <w:rsid w:val="009350A4"/>
    <w:rsid w:val="0094208C"/>
    <w:rsid w:val="00942F17"/>
    <w:rsid w:val="00945F37"/>
    <w:rsid w:val="009466F0"/>
    <w:rsid w:val="00952CEF"/>
    <w:rsid w:val="00955421"/>
    <w:rsid w:val="00957E24"/>
    <w:rsid w:val="00970288"/>
    <w:rsid w:val="00990E9C"/>
    <w:rsid w:val="00994542"/>
    <w:rsid w:val="00994908"/>
    <w:rsid w:val="009964F5"/>
    <w:rsid w:val="009A3766"/>
    <w:rsid w:val="009B160B"/>
    <w:rsid w:val="009C237B"/>
    <w:rsid w:val="009C3FE2"/>
    <w:rsid w:val="009E3DE4"/>
    <w:rsid w:val="009E4933"/>
    <w:rsid w:val="009E5A93"/>
    <w:rsid w:val="009F43EA"/>
    <w:rsid w:val="00A0706F"/>
    <w:rsid w:val="00A124E0"/>
    <w:rsid w:val="00A14026"/>
    <w:rsid w:val="00A20113"/>
    <w:rsid w:val="00A20D78"/>
    <w:rsid w:val="00A2215F"/>
    <w:rsid w:val="00A22839"/>
    <w:rsid w:val="00A23E19"/>
    <w:rsid w:val="00A33185"/>
    <w:rsid w:val="00A370B9"/>
    <w:rsid w:val="00A456F1"/>
    <w:rsid w:val="00A46E56"/>
    <w:rsid w:val="00A5072F"/>
    <w:rsid w:val="00A53B04"/>
    <w:rsid w:val="00A55DAE"/>
    <w:rsid w:val="00A644A9"/>
    <w:rsid w:val="00A661F4"/>
    <w:rsid w:val="00A7271A"/>
    <w:rsid w:val="00A81E19"/>
    <w:rsid w:val="00AA41B1"/>
    <w:rsid w:val="00AA7C0E"/>
    <w:rsid w:val="00AB2A2E"/>
    <w:rsid w:val="00AB7294"/>
    <w:rsid w:val="00AB795F"/>
    <w:rsid w:val="00AC2418"/>
    <w:rsid w:val="00AC378F"/>
    <w:rsid w:val="00AC581B"/>
    <w:rsid w:val="00AC6312"/>
    <w:rsid w:val="00AD6D80"/>
    <w:rsid w:val="00B1160D"/>
    <w:rsid w:val="00B233ED"/>
    <w:rsid w:val="00B444E6"/>
    <w:rsid w:val="00B52011"/>
    <w:rsid w:val="00B53EFF"/>
    <w:rsid w:val="00B54AFA"/>
    <w:rsid w:val="00B564F7"/>
    <w:rsid w:val="00B657C1"/>
    <w:rsid w:val="00B671A4"/>
    <w:rsid w:val="00B7531B"/>
    <w:rsid w:val="00B804E8"/>
    <w:rsid w:val="00B80534"/>
    <w:rsid w:val="00BA2C45"/>
    <w:rsid w:val="00BB2289"/>
    <w:rsid w:val="00BC206C"/>
    <w:rsid w:val="00BC431A"/>
    <w:rsid w:val="00BD1DFD"/>
    <w:rsid w:val="00C01A35"/>
    <w:rsid w:val="00C03772"/>
    <w:rsid w:val="00C04EDA"/>
    <w:rsid w:val="00C119A2"/>
    <w:rsid w:val="00C166FF"/>
    <w:rsid w:val="00C20053"/>
    <w:rsid w:val="00C41A35"/>
    <w:rsid w:val="00C45EF1"/>
    <w:rsid w:val="00C57267"/>
    <w:rsid w:val="00C62B63"/>
    <w:rsid w:val="00C720B8"/>
    <w:rsid w:val="00C72B5B"/>
    <w:rsid w:val="00C90314"/>
    <w:rsid w:val="00CB108A"/>
    <w:rsid w:val="00CD4B73"/>
    <w:rsid w:val="00CD7D5D"/>
    <w:rsid w:val="00CF0FC4"/>
    <w:rsid w:val="00CF6932"/>
    <w:rsid w:val="00D01244"/>
    <w:rsid w:val="00D01FE3"/>
    <w:rsid w:val="00D06CA3"/>
    <w:rsid w:val="00D07F46"/>
    <w:rsid w:val="00D141BA"/>
    <w:rsid w:val="00D170E5"/>
    <w:rsid w:val="00D173C4"/>
    <w:rsid w:val="00D3506C"/>
    <w:rsid w:val="00D37F2F"/>
    <w:rsid w:val="00D415B9"/>
    <w:rsid w:val="00D528E8"/>
    <w:rsid w:val="00D5514B"/>
    <w:rsid w:val="00D5709E"/>
    <w:rsid w:val="00D73A08"/>
    <w:rsid w:val="00D771D0"/>
    <w:rsid w:val="00D835CF"/>
    <w:rsid w:val="00D8479C"/>
    <w:rsid w:val="00DA26FB"/>
    <w:rsid w:val="00DB6C3D"/>
    <w:rsid w:val="00DC1BBD"/>
    <w:rsid w:val="00DC5ACF"/>
    <w:rsid w:val="00DD0180"/>
    <w:rsid w:val="00DD7468"/>
    <w:rsid w:val="00DE13FC"/>
    <w:rsid w:val="00DE25E9"/>
    <w:rsid w:val="00DE58D4"/>
    <w:rsid w:val="00DE71D3"/>
    <w:rsid w:val="00DE72CF"/>
    <w:rsid w:val="00DF08A0"/>
    <w:rsid w:val="00DF1057"/>
    <w:rsid w:val="00E10283"/>
    <w:rsid w:val="00E20F9F"/>
    <w:rsid w:val="00E31D86"/>
    <w:rsid w:val="00E3795F"/>
    <w:rsid w:val="00E70760"/>
    <w:rsid w:val="00E77199"/>
    <w:rsid w:val="00E90892"/>
    <w:rsid w:val="00E9253C"/>
    <w:rsid w:val="00EB45B5"/>
    <w:rsid w:val="00EB5E57"/>
    <w:rsid w:val="00EB61DB"/>
    <w:rsid w:val="00ED4AFD"/>
    <w:rsid w:val="00ED74CC"/>
    <w:rsid w:val="00EE4A18"/>
    <w:rsid w:val="00EE4FBE"/>
    <w:rsid w:val="00F44ABE"/>
    <w:rsid w:val="00F45C0A"/>
    <w:rsid w:val="00F51E8D"/>
    <w:rsid w:val="00F5649A"/>
    <w:rsid w:val="00F5683B"/>
    <w:rsid w:val="00F66B51"/>
    <w:rsid w:val="00F67DC5"/>
    <w:rsid w:val="00F82342"/>
    <w:rsid w:val="00F877DB"/>
    <w:rsid w:val="00F91AE4"/>
    <w:rsid w:val="00F93C8B"/>
    <w:rsid w:val="00F959DD"/>
    <w:rsid w:val="00F960D5"/>
    <w:rsid w:val="00F97C43"/>
    <w:rsid w:val="00FA1402"/>
    <w:rsid w:val="00FB1231"/>
    <w:rsid w:val="00FC1C5C"/>
    <w:rsid w:val="00FC3FCE"/>
    <w:rsid w:val="00FD088F"/>
    <w:rsid w:val="00FE17E2"/>
    <w:rsid w:val="00FE3FEB"/>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533065"/>
    <w:pPr>
      <w:spacing w:after="160" w:line="240" w:lineRule="exact"/>
    </w:pPr>
    <w:rPr>
      <w:rFonts w:ascii="Verdana" w:hAnsi="Verdana"/>
      <w:sz w:val="20"/>
      <w:lang w:val="en-US"/>
    </w:rPr>
  </w:style>
  <w:style w:type="paragraph" w:customStyle="1" w:styleId="ReportHeading3">
    <w:name w:val="Report Heading 3"/>
    <w:basedOn w:val="Heading3"/>
    <w:rsid w:val="00FA1402"/>
    <w:pPr>
      <w:keepNext/>
      <w:spacing w:before="80" w:after="80"/>
      <w:ind w:left="0" w:firstLine="0"/>
      <w:jc w:val="left"/>
    </w:pPr>
    <w:rPr>
      <w:rFonts w:ascii="Arial Bold" w:hAnsi="Arial Bold"/>
      <w:i w:val="0"/>
      <w:sz w:val="22"/>
      <w:szCs w:val="26"/>
      <w:lang w:eastAsia="en-GB"/>
    </w:rPr>
  </w:style>
  <w:style w:type="paragraph" w:customStyle="1" w:styleId="GuideBodyText">
    <w:name w:val="Guide Body Text"/>
    <w:basedOn w:val="Normal"/>
    <w:link w:val="GuideBodyTextChar"/>
    <w:qFormat/>
    <w:rsid w:val="00FA1402"/>
    <w:pPr>
      <w:spacing w:line="288" w:lineRule="auto"/>
      <w:jc w:val="both"/>
    </w:pPr>
    <w:rPr>
      <w:sz w:val="22"/>
      <w:szCs w:val="22"/>
      <w:lang w:eastAsia="en-GB"/>
    </w:rPr>
  </w:style>
  <w:style w:type="character" w:customStyle="1" w:styleId="GuideBodyTextChar">
    <w:name w:val="Guide Body Text Char"/>
    <w:link w:val="GuideBodyText"/>
    <w:rsid w:val="00FA1402"/>
    <w:rPr>
      <w:rFonts w:ascii="Arial" w:hAnsi="Arial"/>
      <w:sz w:val="22"/>
      <w:szCs w:val="22"/>
    </w:rPr>
  </w:style>
  <w:style w:type="paragraph" w:customStyle="1" w:styleId="FormsHeader001">
    <w:name w:val="Forms Header 001"/>
    <w:basedOn w:val="Normal"/>
    <w:link w:val="FormsHeader001Char"/>
    <w:qFormat/>
    <w:rsid w:val="00FA1402"/>
    <w:pPr>
      <w:spacing w:before="80" w:after="120"/>
      <w:jc w:val="both"/>
    </w:pPr>
    <w:rPr>
      <w:rFonts w:cs="Arial"/>
      <w:b/>
      <w:sz w:val="20"/>
    </w:rPr>
  </w:style>
  <w:style w:type="character" w:customStyle="1" w:styleId="FormsHeader001Char">
    <w:name w:val="Forms Header 001 Char"/>
    <w:link w:val="FormsHeader001"/>
    <w:rsid w:val="00FA1402"/>
    <w:rPr>
      <w:rFonts w:ascii="Arial" w:hAnsi="Arial" w:cs="Arial"/>
      <w:b/>
      <w:lang w:eastAsia="en-US"/>
    </w:rPr>
  </w:style>
  <w:style w:type="paragraph" w:styleId="BalloonText">
    <w:name w:val="Balloon Text"/>
    <w:basedOn w:val="Normal"/>
    <w:link w:val="BalloonTextChar"/>
    <w:rsid w:val="00137272"/>
    <w:rPr>
      <w:rFonts w:ascii="Tahoma" w:hAnsi="Tahoma" w:cs="Tahoma"/>
      <w:sz w:val="16"/>
      <w:szCs w:val="16"/>
    </w:rPr>
  </w:style>
  <w:style w:type="character" w:customStyle="1" w:styleId="BalloonTextChar">
    <w:name w:val="Balloon Text Char"/>
    <w:basedOn w:val="DefaultParagraphFont"/>
    <w:link w:val="BalloonText"/>
    <w:rsid w:val="00137272"/>
    <w:rPr>
      <w:rFonts w:ascii="Tahoma" w:hAnsi="Tahoma" w:cs="Tahoma"/>
      <w:sz w:val="16"/>
      <w:szCs w:val="16"/>
      <w:lang w:eastAsia="en-US"/>
    </w:rPr>
  </w:style>
  <w:style w:type="character" w:styleId="CommentReference">
    <w:name w:val="annotation reference"/>
    <w:basedOn w:val="DefaultParagraphFont"/>
    <w:rsid w:val="00AA41B1"/>
    <w:rPr>
      <w:sz w:val="16"/>
      <w:szCs w:val="16"/>
    </w:rPr>
  </w:style>
  <w:style w:type="paragraph" w:styleId="CommentText">
    <w:name w:val="annotation text"/>
    <w:basedOn w:val="Normal"/>
    <w:link w:val="CommentTextChar"/>
    <w:rsid w:val="00AA41B1"/>
    <w:rPr>
      <w:sz w:val="20"/>
    </w:rPr>
  </w:style>
  <w:style w:type="character" w:customStyle="1" w:styleId="CommentTextChar">
    <w:name w:val="Comment Text Char"/>
    <w:basedOn w:val="DefaultParagraphFont"/>
    <w:link w:val="CommentText"/>
    <w:rsid w:val="00AA41B1"/>
    <w:rPr>
      <w:rFonts w:ascii="Arial" w:hAnsi="Arial"/>
      <w:lang w:eastAsia="en-US"/>
    </w:rPr>
  </w:style>
  <w:style w:type="paragraph" w:styleId="CommentSubject">
    <w:name w:val="annotation subject"/>
    <w:basedOn w:val="CommentText"/>
    <w:next w:val="CommentText"/>
    <w:link w:val="CommentSubjectChar"/>
    <w:rsid w:val="00AA41B1"/>
    <w:rPr>
      <w:b/>
      <w:bCs/>
    </w:rPr>
  </w:style>
  <w:style w:type="character" w:customStyle="1" w:styleId="CommentSubjectChar">
    <w:name w:val="Comment Subject Char"/>
    <w:basedOn w:val="CommentTextChar"/>
    <w:link w:val="CommentSubject"/>
    <w:rsid w:val="00AA41B1"/>
    <w:rPr>
      <w:rFonts w:ascii="Arial" w:hAnsi="Arial"/>
      <w:b/>
      <w:bCs/>
      <w:lang w:eastAsia="en-US"/>
    </w:rPr>
  </w:style>
  <w:style w:type="paragraph" w:customStyle="1" w:styleId="Default">
    <w:name w:val="Default"/>
    <w:basedOn w:val="Normal"/>
    <w:rsid w:val="007A6565"/>
    <w:pPr>
      <w:autoSpaceDE w:val="0"/>
      <w:autoSpaceDN w:val="0"/>
    </w:pPr>
    <w:rPr>
      <w:rFonts w:eastAsiaTheme="minorHAnsi" w:cs="Arial"/>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533065"/>
    <w:pPr>
      <w:spacing w:after="160" w:line="240" w:lineRule="exact"/>
    </w:pPr>
    <w:rPr>
      <w:rFonts w:ascii="Verdana" w:hAnsi="Verdana"/>
      <w:sz w:val="20"/>
      <w:lang w:val="en-US"/>
    </w:rPr>
  </w:style>
  <w:style w:type="paragraph" w:customStyle="1" w:styleId="ReportHeading3">
    <w:name w:val="Report Heading 3"/>
    <w:basedOn w:val="Heading3"/>
    <w:rsid w:val="00FA1402"/>
    <w:pPr>
      <w:keepNext/>
      <w:spacing w:before="80" w:after="80"/>
      <w:ind w:left="0" w:firstLine="0"/>
      <w:jc w:val="left"/>
    </w:pPr>
    <w:rPr>
      <w:rFonts w:ascii="Arial Bold" w:hAnsi="Arial Bold"/>
      <w:i w:val="0"/>
      <w:sz w:val="22"/>
      <w:szCs w:val="26"/>
      <w:lang w:eastAsia="en-GB"/>
    </w:rPr>
  </w:style>
  <w:style w:type="paragraph" w:customStyle="1" w:styleId="GuideBodyText">
    <w:name w:val="Guide Body Text"/>
    <w:basedOn w:val="Normal"/>
    <w:link w:val="GuideBodyTextChar"/>
    <w:qFormat/>
    <w:rsid w:val="00FA1402"/>
    <w:pPr>
      <w:spacing w:line="288" w:lineRule="auto"/>
      <w:jc w:val="both"/>
    </w:pPr>
    <w:rPr>
      <w:sz w:val="22"/>
      <w:szCs w:val="22"/>
      <w:lang w:eastAsia="en-GB"/>
    </w:rPr>
  </w:style>
  <w:style w:type="character" w:customStyle="1" w:styleId="GuideBodyTextChar">
    <w:name w:val="Guide Body Text Char"/>
    <w:link w:val="GuideBodyText"/>
    <w:rsid w:val="00FA1402"/>
    <w:rPr>
      <w:rFonts w:ascii="Arial" w:hAnsi="Arial"/>
      <w:sz w:val="22"/>
      <w:szCs w:val="22"/>
    </w:rPr>
  </w:style>
  <w:style w:type="paragraph" w:customStyle="1" w:styleId="FormsHeader001">
    <w:name w:val="Forms Header 001"/>
    <w:basedOn w:val="Normal"/>
    <w:link w:val="FormsHeader001Char"/>
    <w:qFormat/>
    <w:rsid w:val="00FA1402"/>
    <w:pPr>
      <w:spacing w:before="80" w:after="120"/>
      <w:jc w:val="both"/>
    </w:pPr>
    <w:rPr>
      <w:rFonts w:cs="Arial"/>
      <w:b/>
      <w:sz w:val="20"/>
    </w:rPr>
  </w:style>
  <w:style w:type="character" w:customStyle="1" w:styleId="FormsHeader001Char">
    <w:name w:val="Forms Header 001 Char"/>
    <w:link w:val="FormsHeader001"/>
    <w:rsid w:val="00FA1402"/>
    <w:rPr>
      <w:rFonts w:ascii="Arial" w:hAnsi="Arial" w:cs="Arial"/>
      <w:b/>
      <w:lang w:eastAsia="en-US"/>
    </w:rPr>
  </w:style>
  <w:style w:type="paragraph" w:styleId="BalloonText">
    <w:name w:val="Balloon Text"/>
    <w:basedOn w:val="Normal"/>
    <w:link w:val="BalloonTextChar"/>
    <w:rsid w:val="00137272"/>
    <w:rPr>
      <w:rFonts w:ascii="Tahoma" w:hAnsi="Tahoma" w:cs="Tahoma"/>
      <w:sz w:val="16"/>
      <w:szCs w:val="16"/>
    </w:rPr>
  </w:style>
  <w:style w:type="character" w:customStyle="1" w:styleId="BalloonTextChar">
    <w:name w:val="Balloon Text Char"/>
    <w:basedOn w:val="DefaultParagraphFont"/>
    <w:link w:val="BalloonText"/>
    <w:rsid w:val="00137272"/>
    <w:rPr>
      <w:rFonts w:ascii="Tahoma" w:hAnsi="Tahoma" w:cs="Tahoma"/>
      <w:sz w:val="16"/>
      <w:szCs w:val="16"/>
      <w:lang w:eastAsia="en-US"/>
    </w:rPr>
  </w:style>
  <w:style w:type="character" w:styleId="CommentReference">
    <w:name w:val="annotation reference"/>
    <w:basedOn w:val="DefaultParagraphFont"/>
    <w:rsid w:val="00AA41B1"/>
    <w:rPr>
      <w:sz w:val="16"/>
      <w:szCs w:val="16"/>
    </w:rPr>
  </w:style>
  <w:style w:type="paragraph" w:styleId="CommentText">
    <w:name w:val="annotation text"/>
    <w:basedOn w:val="Normal"/>
    <w:link w:val="CommentTextChar"/>
    <w:rsid w:val="00AA41B1"/>
    <w:rPr>
      <w:sz w:val="20"/>
    </w:rPr>
  </w:style>
  <w:style w:type="character" w:customStyle="1" w:styleId="CommentTextChar">
    <w:name w:val="Comment Text Char"/>
    <w:basedOn w:val="DefaultParagraphFont"/>
    <w:link w:val="CommentText"/>
    <w:rsid w:val="00AA41B1"/>
    <w:rPr>
      <w:rFonts w:ascii="Arial" w:hAnsi="Arial"/>
      <w:lang w:eastAsia="en-US"/>
    </w:rPr>
  </w:style>
  <w:style w:type="paragraph" w:styleId="CommentSubject">
    <w:name w:val="annotation subject"/>
    <w:basedOn w:val="CommentText"/>
    <w:next w:val="CommentText"/>
    <w:link w:val="CommentSubjectChar"/>
    <w:rsid w:val="00AA41B1"/>
    <w:rPr>
      <w:b/>
      <w:bCs/>
    </w:rPr>
  </w:style>
  <w:style w:type="character" w:customStyle="1" w:styleId="CommentSubjectChar">
    <w:name w:val="Comment Subject Char"/>
    <w:basedOn w:val="CommentTextChar"/>
    <w:link w:val="CommentSubject"/>
    <w:rsid w:val="00AA41B1"/>
    <w:rPr>
      <w:rFonts w:ascii="Arial" w:hAnsi="Arial"/>
      <w:b/>
      <w:bCs/>
      <w:lang w:eastAsia="en-US"/>
    </w:rPr>
  </w:style>
  <w:style w:type="paragraph" w:customStyle="1" w:styleId="Default">
    <w:name w:val="Default"/>
    <w:basedOn w:val="Normal"/>
    <w:rsid w:val="007A6565"/>
    <w:pPr>
      <w:autoSpaceDE w:val="0"/>
      <w:autoSpaceDN w:val="0"/>
    </w:pPr>
    <w:rPr>
      <w:rFonts w:eastAsiaTheme="minorHAnsi"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957">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305730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48437335">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2412789">
      <w:bodyDiv w:val="1"/>
      <w:marLeft w:val="0"/>
      <w:marRight w:val="0"/>
      <w:marTop w:val="0"/>
      <w:marBottom w:val="0"/>
      <w:divBdr>
        <w:top w:val="none" w:sz="0" w:space="0" w:color="auto"/>
        <w:left w:val="none" w:sz="0" w:space="0" w:color="auto"/>
        <w:bottom w:val="none" w:sz="0" w:space="0" w:color="auto"/>
        <w:right w:val="none" w:sz="0" w:space="0" w:color="auto"/>
      </w:divBdr>
    </w:div>
    <w:div w:id="1169098731">
      <w:bodyDiv w:val="1"/>
      <w:marLeft w:val="0"/>
      <w:marRight w:val="0"/>
      <w:marTop w:val="0"/>
      <w:marBottom w:val="0"/>
      <w:divBdr>
        <w:top w:val="none" w:sz="0" w:space="0" w:color="auto"/>
        <w:left w:val="none" w:sz="0" w:space="0" w:color="auto"/>
        <w:bottom w:val="none" w:sz="0" w:space="0" w:color="auto"/>
        <w:right w:val="none" w:sz="0" w:space="0" w:color="auto"/>
      </w:divBdr>
    </w:div>
    <w:div w:id="1398505223">
      <w:bodyDiv w:val="1"/>
      <w:marLeft w:val="0"/>
      <w:marRight w:val="0"/>
      <w:marTop w:val="0"/>
      <w:marBottom w:val="0"/>
      <w:divBdr>
        <w:top w:val="none" w:sz="0" w:space="0" w:color="auto"/>
        <w:left w:val="none" w:sz="0" w:space="0" w:color="auto"/>
        <w:bottom w:val="none" w:sz="0" w:space="0" w:color="auto"/>
        <w:right w:val="none" w:sz="0" w:space="0" w:color="auto"/>
      </w:divBdr>
    </w:div>
    <w:div w:id="1497188774">
      <w:bodyDiv w:val="1"/>
      <w:marLeft w:val="0"/>
      <w:marRight w:val="0"/>
      <w:marTop w:val="0"/>
      <w:marBottom w:val="0"/>
      <w:divBdr>
        <w:top w:val="none" w:sz="0" w:space="0" w:color="auto"/>
        <w:left w:val="none" w:sz="0" w:space="0" w:color="auto"/>
        <w:bottom w:val="none" w:sz="0" w:space="0" w:color="auto"/>
        <w:right w:val="none" w:sz="0" w:space="0" w:color="auto"/>
      </w:divBdr>
    </w:div>
    <w:div w:id="1673020584">
      <w:bodyDiv w:val="1"/>
      <w:marLeft w:val="0"/>
      <w:marRight w:val="0"/>
      <w:marTop w:val="0"/>
      <w:marBottom w:val="0"/>
      <w:divBdr>
        <w:top w:val="none" w:sz="0" w:space="0" w:color="auto"/>
        <w:left w:val="none" w:sz="0" w:space="0" w:color="auto"/>
        <w:bottom w:val="none" w:sz="0" w:space="0" w:color="auto"/>
        <w:right w:val="none" w:sz="0" w:space="0" w:color="auto"/>
      </w:divBdr>
    </w:div>
    <w:div w:id="1815024474">
      <w:bodyDiv w:val="1"/>
      <w:marLeft w:val="0"/>
      <w:marRight w:val="0"/>
      <w:marTop w:val="0"/>
      <w:marBottom w:val="0"/>
      <w:divBdr>
        <w:top w:val="none" w:sz="0" w:space="0" w:color="auto"/>
        <w:left w:val="none" w:sz="0" w:space="0" w:color="auto"/>
        <w:bottom w:val="none" w:sz="0" w:space="0" w:color="auto"/>
        <w:right w:val="none" w:sz="0" w:space="0" w:color="auto"/>
      </w:divBdr>
    </w:div>
    <w:div w:id="20067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drew.Campion@harrow.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infopath/2007/PartnerControls"/>
    <ds:schemaRef ds:uri="54c1341a-f0b2-450a-9883-97eea039321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e48e9339-ef40-4192-ab59-a15ba5582753"/>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F3192B-7F26-4FC1-A66E-D0A5052F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3361</Words>
  <Characters>18256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21574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4</cp:revision>
  <cp:lastPrinted>2014-10-31T16:34:00Z</cp:lastPrinted>
  <dcterms:created xsi:type="dcterms:W3CDTF">2019-12-20T12:02:00Z</dcterms:created>
  <dcterms:modified xsi:type="dcterms:W3CDTF">2019-12-20T12:10:00Z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